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96" w:rsidRDefault="00627596">
      <w:pPr>
        <w:spacing w:line="600" w:lineRule="exact"/>
        <w:jc w:val="center"/>
        <w:outlineLvl w:val="0"/>
        <w:rPr>
          <w:rFonts w:ascii="方正小标宋简体" w:eastAsia="方正小标宋简体" w:hAnsi="宋体"/>
          <w:color w:val="000000"/>
          <w:sz w:val="72"/>
          <w:szCs w:val="72"/>
        </w:rPr>
      </w:pPr>
      <w:bookmarkStart w:id="0" w:name="_Toc15306267"/>
    </w:p>
    <w:p w:rsidR="00627596" w:rsidRDefault="00627596">
      <w:pPr>
        <w:spacing w:line="600" w:lineRule="exact"/>
        <w:jc w:val="center"/>
        <w:outlineLvl w:val="0"/>
        <w:rPr>
          <w:rFonts w:ascii="方正小标宋简体" w:eastAsia="方正小标宋简体" w:hAnsi="宋体"/>
          <w:color w:val="000000"/>
          <w:sz w:val="72"/>
          <w:szCs w:val="72"/>
        </w:rPr>
      </w:pPr>
    </w:p>
    <w:p w:rsidR="00627596" w:rsidRDefault="00627596">
      <w:pPr>
        <w:spacing w:line="600" w:lineRule="exact"/>
        <w:jc w:val="center"/>
        <w:outlineLvl w:val="0"/>
        <w:rPr>
          <w:rFonts w:ascii="方正小标宋简体" w:eastAsia="方正小标宋简体" w:hAnsi="宋体"/>
          <w:color w:val="000000"/>
          <w:sz w:val="72"/>
          <w:szCs w:val="72"/>
        </w:rPr>
      </w:pPr>
    </w:p>
    <w:p w:rsidR="00627596" w:rsidRDefault="00627596">
      <w:pPr>
        <w:spacing w:line="600" w:lineRule="exact"/>
        <w:jc w:val="center"/>
        <w:outlineLvl w:val="0"/>
        <w:rPr>
          <w:rFonts w:ascii="方正小标宋简体" w:eastAsia="方正小标宋简体" w:hAnsi="宋体"/>
          <w:color w:val="000000"/>
          <w:sz w:val="72"/>
          <w:szCs w:val="72"/>
        </w:rPr>
      </w:pPr>
    </w:p>
    <w:p w:rsidR="00627596" w:rsidRDefault="0040253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77193"/>
      <w:bookmarkStart w:id="5" w:name="_Toc1539647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627596" w:rsidRDefault="00402537">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426"/>
      <w:bookmarkStart w:id="8" w:name="_Toc15306268"/>
      <w:bookmarkStart w:id="9" w:name="_Toc15396476"/>
      <w:bookmarkStart w:id="10" w:name="_Toc15377194"/>
      <w:bookmarkStart w:id="11" w:name="_Toc15396598"/>
      <w:bookmarkEnd w:id="0"/>
      <w:r>
        <w:rPr>
          <w:rFonts w:ascii="方正小标宋简体" w:eastAsia="方正小标宋简体" w:hAnsi="宋体" w:hint="eastAsia"/>
          <w:color w:val="000000"/>
          <w:sz w:val="72"/>
          <w:szCs w:val="72"/>
        </w:rPr>
        <w:t>峨眉山市人民法院</w:t>
      </w:r>
    </w:p>
    <w:p w:rsidR="00627596" w:rsidRDefault="0040253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627596" w:rsidRDefault="0040253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27596" w:rsidRDefault="00627596">
      <w:pPr>
        <w:widowControl/>
        <w:jc w:val="center"/>
        <w:rPr>
          <w:rFonts w:ascii="黑体" w:eastAsia="黑体" w:hAnsi="黑体" w:cstheme="minorBidi"/>
          <w:sz w:val="28"/>
          <w:szCs w:val="28"/>
        </w:rPr>
      </w:pPr>
    </w:p>
    <w:p w:rsidR="00627596" w:rsidRDefault="00402537">
      <w:pPr>
        <w:pStyle w:val="10"/>
      </w:pPr>
      <w:r>
        <w:rPr>
          <w:rFonts w:hint="eastAsia"/>
        </w:rPr>
        <w:t>公开时间：2020年10月30日</w:t>
      </w:r>
    </w:p>
    <w:p w:rsidR="00627596" w:rsidRDefault="00627596"/>
    <w:p w:rsidR="00627596" w:rsidRDefault="00402537">
      <w:pPr>
        <w:pStyle w:val="10"/>
        <w:adjustRightInd w:val="0"/>
        <w:snapToGrid w:val="0"/>
        <w:spacing w:before="0" w:line="440" w:lineRule="exact"/>
        <w:jc w:val="left"/>
        <w:rPr>
          <w:rFonts w:cstheme="minorBidi"/>
          <w:sz w:val="24"/>
          <w:szCs w:val="24"/>
        </w:rPr>
      </w:pPr>
      <w:r>
        <w:rPr>
          <w:rFonts w:hint="eastAsia"/>
          <w:sz w:val="24"/>
        </w:rPr>
        <w:t>第一部分部门概况</w:t>
      </w:r>
    </w:p>
    <w:p w:rsidR="00627596" w:rsidRDefault="00402537">
      <w:pPr>
        <w:pStyle w:val="20"/>
        <w:adjustRightInd w:val="0"/>
        <w:snapToGrid w:val="0"/>
        <w:spacing w:line="440" w:lineRule="exact"/>
        <w:jc w:val="left"/>
        <w:rPr>
          <w:rFonts w:ascii="仿宋" w:eastAsia="仿宋" w:hAnsi="仿宋"/>
          <w:sz w:val="24"/>
        </w:rPr>
      </w:pPr>
      <w:r>
        <w:rPr>
          <w:rFonts w:hint="eastAsia"/>
          <w:sz w:val="24"/>
        </w:rPr>
        <w:t>一、基本职能及主要工作</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627596" w:rsidRDefault="00402537">
      <w:pPr>
        <w:pStyle w:val="10"/>
        <w:adjustRightInd w:val="0"/>
        <w:snapToGrid w:val="0"/>
        <w:spacing w:before="0" w:line="440" w:lineRule="exact"/>
        <w:jc w:val="left"/>
        <w:rPr>
          <w:sz w:val="24"/>
          <w:szCs w:val="24"/>
        </w:rPr>
      </w:pPr>
      <w:r>
        <w:rPr>
          <w:rFonts w:hint="eastAsia"/>
          <w:sz w:val="24"/>
        </w:rPr>
        <w:t>第二部分部门决算情况说明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627596" w:rsidRDefault="00402537">
      <w:pPr>
        <w:pStyle w:val="20"/>
        <w:adjustRightInd w:val="0"/>
        <w:snapToGrid w:val="0"/>
        <w:spacing w:line="440" w:lineRule="exact"/>
        <w:jc w:val="left"/>
        <w:rPr>
          <w:sz w:val="24"/>
        </w:rPr>
      </w:pPr>
      <w:r>
        <w:rPr>
          <w:rFonts w:hint="eastAsia"/>
          <w:sz w:val="24"/>
        </w:rPr>
        <w:t>九、</w:t>
      </w:r>
      <w:r>
        <w:rPr>
          <w:rFonts w:hint="eastAsia"/>
          <w:sz w:val="24"/>
        </w:rPr>
        <w:t xml:space="preserve"> </w:t>
      </w:r>
      <w:r>
        <w:rPr>
          <w:rFonts w:hint="eastAsia"/>
          <w:sz w:val="24"/>
        </w:rPr>
        <w:t>国有资本经营预算支出决算情况说明</w:t>
      </w:r>
    </w:p>
    <w:p w:rsidR="00627596" w:rsidRDefault="00402537">
      <w:pPr>
        <w:pStyle w:val="20"/>
        <w:adjustRightInd w:val="0"/>
        <w:snapToGrid w:val="0"/>
        <w:spacing w:line="440" w:lineRule="exact"/>
        <w:jc w:val="left"/>
        <w:rPr>
          <w:sz w:val="24"/>
        </w:rPr>
      </w:pPr>
      <w:r>
        <w:rPr>
          <w:rFonts w:hint="eastAsia"/>
          <w:sz w:val="24"/>
        </w:rPr>
        <w:t>十、其他重要事项的情况说明</w:t>
      </w:r>
    </w:p>
    <w:p w:rsidR="00627596" w:rsidRDefault="00402537">
      <w:pPr>
        <w:pStyle w:val="10"/>
        <w:adjustRightInd w:val="0"/>
        <w:snapToGrid w:val="0"/>
        <w:spacing w:before="0" w:line="440" w:lineRule="exact"/>
        <w:jc w:val="left"/>
        <w:rPr>
          <w:rFonts w:cstheme="minorBidi"/>
          <w:sz w:val="24"/>
          <w:szCs w:val="24"/>
        </w:rPr>
      </w:pPr>
      <w:r>
        <w:rPr>
          <w:rFonts w:hint="eastAsia"/>
          <w:sz w:val="24"/>
        </w:rPr>
        <w:t>第三部分名词解释</w:t>
      </w:r>
    </w:p>
    <w:p w:rsidR="00627596" w:rsidRDefault="00402537">
      <w:pPr>
        <w:pStyle w:val="10"/>
        <w:adjustRightInd w:val="0"/>
        <w:snapToGrid w:val="0"/>
        <w:spacing w:before="0" w:line="440" w:lineRule="exact"/>
        <w:jc w:val="left"/>
        <w:rPr>
          <w:rFonts w:cstheme="minorBidi"/>
          <w:sz w:val="24"/>
          <w:szCs w:val="24"/>
        </w:rPr>
      </w:pPr>
      <w:r>
        <w:rPr>
          <w:rFonts w:hint="eastAsia"/>
          <w:sz w:val="24"/>
        </w:rPr>
        <w:t>第四部分附件</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p>
    <w:p w:rsidR="00627596" w:rsidRDefault="00402537">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p>
    <w:p w:rsidR="00627596" w:rsidRDefault="00402537">
      <w:pPr>
        <w:pStyle w:val="10"/>
        <w:adjustRightInd w:val="0"/>
        <w:snapToGrid w:val="0"/>
        <w:spacing w:before="0" w:line="440" w:lineRule="exact"/>
        <w:jc w:val="left"/>
        <w:rPr>
          <w:rFonts w:cstheme="minorBidi"/>
          <w:sz w:val="24"/>
          <w:szCs w:val="24"/>
        </w:rPr>
      </w:pPr>
      <w:r>
        <w:rPr>
          <w:rFonts w:hint="eastAsia"/>
          <w:sz w:val="24"/>
        </w:rPr>
        <w:t>第五部分附表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p>
    <w:p w:rsidR="00627596" w:rsidRDefault="00402537">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p>
    <w:p w:rsidR="00627596" w:rsidRDefault="0040253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p>
    <w:p w:rsidR="00627596" w:rsidRDefault="00627596">
      <w:pPr>
        <w:widowControl/>
        <w:adjustRightInd w:val="0"/>
        <w:snapToGrid w:val="0"/>
        <w:spacing w:line="440" w:lineRule="exact"/>
        <w:ind w:firstLineChars="550" w:firstLine="1320"/>
        <w:jc w:val="left"/>
        <w:rPr>
          <w:rFonts w:ascii="仿宋" w:eastAsia="仿宋" w:hAnsi="仿宋"/>
          <w:color w:val="FF0000"/>
          <w:sz w:val="24"/>
        </w:rPr>
      </w:pPr>
    </w:p>
    <w:p w:rsidR="00627596" w:rsidRDefault="00402537">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627596" w:rsidRDefault="00402537">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627596" w:rsidRDefault="00627596">
      <w:pPr>
        <w:widowControl/>
        <w:jc w:val="left"/>
        <w:rPr>
          <w:rFonts w:ascii="黑体" w:eastAsia="黑体"/>
          <w:color w:val="000000"/>
          <w:sz w:val="32"/>
          <w:szCs w:val="32"/>
        </w:rPr>
      </w:pPr>
    </w:p>
    <w:p w:rsidR="00627596" w:rsidRDefault="00402537">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627596" w:rsidRDefault="00402537">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End w:id="16"/>
      <w:bookmarkEnd w:id="17"/>
    </w:p>
    <w:p w:rsidR="00627596" w:rsidRDefault="00402537">
      <w:pPr>
        <w:ind w:firstLine="645"/>
        <w:rPr>
          <w:rFonts w:ascii="仿宋_GB2312" w:eastAsia="仿宋_GB2312"/>
          <w:b/>
          <w:color w:val="000000"/>
          <w:sz w:val="32"/>
          <w:szCs w:val="32"/>
        </w:rPr>
      </w:pPr>
      <w:bookmarkStart w:id="18" w:name="_Toc15378446"/>
      <w:bookmarkStart w:id="19" w:name="_Toc15377199"/>
      <w:r>
        <w:rPr>
          <w:rFonts w:ascii="仿宋_GB2312" w:eastAsia="仿宋_GB2312" w:hint="eastAsia"/>
          <w:color w:val="000000"/>
          <w:sz w:val="32"/>
          <w:szCs w:val="32"/>
        </w:rPr>
        <w:t>审理法律规定、上级法院指定由基层法院管辖的刑事、民事、行政等第一审案件；依法行使司法执行权和司法决定权，执行本院已经发生法律效力的判决、裁定以及国家行政机关申请执行的案件和外地法院委托执行的案件；组织开展对外司法交流活动；对有关法律、法规、规章草案提出意见；对案件审理中发现的问题提出司法建议；负责本院干警思想政治工作、教育培训工作；按照权限管理法官和其他人员以及本院督察工作；参与社会治安综合治理工作；结合审判工作宣传法制，教育公民自觉遵守宪法和法律；协调、指导、管理、监督人民陪审员和调解员的各项工作；管理本院有关经费和物资装备；承办其他应由基层法院负责的工作。</w:t>
      </w:r>
    </w:p>
    <w:p w:rsidR="00627596" w:rsidRDefault="00402537">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627596" w:rsidRDefault="00402537">
      <w:pPr>
        <w:autoSpaceDE w:val="0"/>
        <w:autoSpaceDN w:val="0"/>
        <w:adjustRightInd w:val="0"/>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2019年，我院在市委的坚强领导、市人大及其常委会的有力监督、市政府的大力支持、市政协的民主监督和上级法院的具体指导下，深入贯彻落实党的十九大、习近平总书记对四川工作系列重要指示精神，学习贯彻党的十九届四中全</w:t>
      </w:r>
      <w:r>
        <w:rPr>
          <w:rFonts w:ascii="仿宋_GB2312" w:eastAsia="仿宋_GB2312" w:cs="宋体" w:hint="eastAsia"/>
          <w:color w:val="000000"/>
          <w:kern w:val="0"/>
          <w:sz w:val="32"/>
          <w:szCs w:val="32"/>
          <w:lang w:val="zh-CN"/>
        </w:rPr>
        <w:lastRenderedPageBreak/>
        <w:t>会和省委十一届六次全会精神，紧扣市委建设“绿水青山典范城市”总体定位和“137”发展战略，坚持围绕中心，服务大局，认真履职，积极作为，为我市经济和社会发展提供了有力的司法保障和法律服务。共受理各类案件6925件，审、执结6417件，同比分别上升5.44%和12.50%，涉案金额21亿元，法官人均结案数178.25件。结收比105.79%、平均审理天数44.78天、服判息诉率91.71%、案件改发率0.85%、首次执行案件实际执结率57.02%、年底收案率7.07%等六项重点质效指标均达省法院考核满分值。年度工作目标考核居全市法院第一。共有8个集体、26名个人受到乐山市级以上表彰奖励，其中2件案例入选首届乐山市维护妇女儿童合法权益十大典型案例，2件案件分别被评为全市法院“十佳庭审”、全省法院优秀庭审，3名个人分别被评为全市法院庭审标兵、全省法院办案标兵、岗位标兵，1名个人被中华全国妇女联合会评为全国维护妇女儿童权益先进个人。乐山市委常委、峨眉山市委书记高鹏凌对我院工作作出4次批示，四川省高级人民法院党组书记、院长王树江、党组副书记、常务副院长熊焱先后到我院视察调研工作，给予充分肯定。</w:t>
      </w:r>
    </w:p>
    <w:p w:rsidR="00627596" w:rsidRDefault="00402537">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627596" w:rsidRDefault="00402537">
      <w:pPr>
        <w:ind w:firstLineChars="250" w:firstLine="800"/>
        <w:rPr>
          <w:rFonts w:ascii="仿宋_GB2312" w:eastAsia="仿宋_GB2312" w:hAnsi="仿宋"/>
          <w:sz w:val="32"/>
          <w:szCs w:val="32"/>
        </w:rPr>
      </w:pPr>
      <w:r>
        <w:rPr>
          <w:rFonts w:ascii="仿宋_GB2312" w:eastAsia="仿宋_GB2312" w:hAnsi="仿宋" w:hint="eastAsia"/>
          <w:sz w:val="32"/>
          <w:szCs w:val="32"/>
        </w:rPr>
        <w:t>峨眉山市人民法院为一级预算单位，包括：行政单位1个，事业单位（全额拨款）1个：</w:t>
      </w:r>
      <w:r>
        <w:rPr>
          <w:rFonts w:ascii="仿宋_GB2312" w:eastAsia="仿宋_GB2312" w:hAnsi="仿宋" w:hint="eastAsia"/>
          <w:color w:val="000000"/>
          <w:sz w:val="32"/>
          <w:szCs w:val="32"/>
        </w:rPr>
        <w:t>峨眉山市人民法院诉讼服</w:t>
      </w:r>
      <w:r>
        <w:rPr>
          <w:rFonts w:ascii="仿宋_GB2312" w:eastAsia="仿宋_GB2312" w:hAnsi="仿宋" w:hint="eastAsia"/>
          <w:color w:val="000000"/>
          <w:sz w:val="32"/>
          <w:szCs w:val="32"/>
        </w:rPr>
        <w:lastRenderedPageBreak/>
        <w:t>务中心</w:t>
      </w:r>
      <w:r>
        <w:rPr>
          <w:rFonts w:ascii="仿宋_GB2312" w:eastAsia="仿宋_GB2312" w:hAnsi="仿宋" w:hint="eastAsia"/>
          <w:sz w:val="32"/>
          <w:szCs w:val="32"/>
        </w:rPr>
        <w:t>。</w:t>
      </w:r>
      <w:r>
        <w:rPr>
          <w:rFonts w:ascii="仿宋_GB2312" w:eastAsia="仿宋_GB2312" w:hAnsi="仿宋" w:hint="eastAsia"/>
          <w:color w:val="000000"/>
          <w:sz w:val="32"/>
          <w:szCs w:val="32"/>
        </w:rPr>
        <w:t>峨眉山市人民法院诉讼服务中心纳入峨眉山市人民法院2019年度部门决算编制范围</w:t>
      </w:r>
      <w:r>
        <w:rPr>
          <w:rFonts w:hAnsi="仿宋" w:hint="eastAsia"/>
          <w:color w:val="000000"/>
          <w:sz w:val="32"/>
          <w:szCs w:val="32"/>
        </w:rPr>
        <w:t>。</w:t>
      </w:r>
    </w:p>
    <w:p w:rsidR="00627596" w:rsidRDefault="00402537">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627596" w:rsidRDefault="00402537">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Style w:val="1Char"/>
          <w:rFonts w:ascii="黑体" w:eastAsia="黑体" w:hAnsi="黑体" w:hint="eastAsia"/>
        </w:rPr>
        <w:t>2019年度部门决算情况说明</w:t>
      </w:r>
      <w:bookmarkEnd w:id="22"/>
      <w:bookmarkEnd w:id="23"/>
    </w:p>
    <w:p w:rsidR="00627596" w:rsidRDefault="00627596"/>
    <w:p w:rsidR="00627596" w:rsidRDefault="00402537">
      <w:pPr>
        <w:pStyle w:val="aa"/>
        <w:numPr>
          <w:ilvl w:val="0"/>
          <w:numId w:val="1"/>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627596" w:rsidRDefault="00402537">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2019年度收入3125.39万元，支出3123.76万元。与2018年相比，收入增加140.49万元，增长4.7%；支出增加146.21万元，增长4.9%。主要变动原因是审判业务增加、智慧法院建设等因素，办案业务和人员保障经费等相应增加。</w:t>
      </w:r>
    </w:p>
    <w:p w:rsidR="00627596" w:rsidRDefault="00402537">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（图1：收、支决算总计变动情况图）（柱状图）</w:t>
      </w:r>
    </w:p>
    <w:p w:rsidR="00627596" w:rsidRDefault="00402537">
      <w:pPr>
        <w:spacing w:line="600" w:lineRule="exact"/>
        <w:ind w:firstLineChars="200" w:firstLine="640"/>
        <w:jc w:val="left"/>
        <w:rPr>
          <w:rFonts w:ascii="仿宋_GB2312" w:eastAsia="仿宋_GB2312"/>
          <w:color w:val="000000"/>
          <w:sz w:val="32"/>
          <w:szCs w:val="32"/>
        </w:rPr>
      </w:pPr>
      <w:r>
        <w:rPr>
          <w:rFonts w:ascii="仿宋_GB2312" w:eastAsia="仿宋_GB2312" w:hint="eastAsia"/>
          <w:noProof/>
          <w:color w:val="000000"/>
          <w:sz w:val="32"/>
          <w:szCs w:val="32"/>
        </w:rPr>
        <w:drawing>
          <wp:anchor distT="0" distB="0" distL="114300" distR="114300" simplePos="0" relativeHeight="251658240" behindDoc="0" locked="0" layoutInCell="1" allowOverlap="1">
            <wp:simplePos x="0" y="0"/>
            <wp:positionH relativeFrom="column">
              <wp:posOffset>-137795</wp:posOffset>
            </wp:positionH>
            <wp:positionV relativeFrom="paragraph">
              <wp:posOffset>250825</wp:posOffset>
            </wp:positionV>
            <wp:extent cx="5284470" cy="3472815"/>
            <wp:effectExtent l="19050" t="0" r="11430" b="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ind w:firstLineChars="200" w:firstLine="640"/>
        <w:jc w:val="left"/>
        <w:rPr>
          <w:rFonts w:ascii="仿宋_GB2312" w:eastAsia="仿宋_GB2312"/>
          <w:color w:val="000000"/>
          <w:sz w:val="32"/>
          <w:szCs w:val="32"/>
        </w:rPr>
      </w:pPr>
    </w:p>
    <w:p w:rsidR="00627596" w:rsidRDefault="00627596">
      <w:pPr>
        <w:spacing w:line="600" w:lineRule="exact"/>
        <w:jc w:val="left"/>
        <w:rPr>
          <w:rFonts w:ascii="仿宋_GB2312" w:eastAsia="仿宋_GB2312"/>
          <w:color w:val="000000"/>
          <w:sz w:val="32"/>
          <w:szCs w:val="32"/>
        </w:rPr>
      </w:pPr>
    </w:p>
    <w:p w:rsidR="00627596" w:rsidRDefault="00402537">
      <w:pPr>
        <w:pStyle w:val="aa"/>
        <w:numPr>
          <w:ilvl w:val="0"/>
          <w:numId w:val="1"/>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627596" w:rsidRDefault="00402537">
      <w:pPr>
        <w:spacing w:line="600" w:lineRule="exact"/>
        <w:ind w:firstLineChars="200" w:firstLine="640"/>
        <w:outlineLvl w:val="1"/>
        <w:rPr>
          <w:rFonts w:ascii="仿宋_GB2312" w:eastAsia="仿宋_GB2312" w:hAnsi="仿宋"/>
          <w:color w:val="000000"/>
          <w:sz w:val="32"/>
          <w:szCs w:val="32"/>
        </w:rPr>
      </w:pPr>
      <w:r>
        <w:rPr>
          <w:rFonts w:ascii="仿宋_GB2312" w:eastAsia="仿宋_GB2312" w:hAnsi="仿宋" w:hint="eastAsia"/>
          <w:color w:val="000000"/>
          <w:sz w:val="32"/>
          <w:szCs w:val="32"/>
        </w:rPr>
        <w:t>2019年本年收入合计3125.39万元，其中：一般公共预算财政拨款收入3060.98万元，占97.94%；政府性基金预算财政拨款收入64.41万元，占2.06%；</w:t>
      </w:r>
      <w:r>
        <w:rPr>
          <w:rFonts w:ascii="仿宋_GB2312" w:eastAsia="仿宋_GB2312" w:hAnsi="仿宋" w:hint="eastAsia"/>
          <w:color w:val="000000" w:themeColor="text1"/>
          <w:sz w:val="32"/>
          <w:szCs w:val="32"/>
        </w:rPr>
        <w:t>上级补助收入0</w:t>
      </w:r>
      <w:r>
        <w:rPr>
          <w:rFonts w:ascii="仿宋_GB2312" w:eastAsia="仿宋_GB2312" w:hAnsi="仿宋" w:hint="eastAsia"/>
          <w:color w:val="000000"/>
          <w:sz w:val="32"/>
          <w:szCs w:val="32"/>
        </w:rPr>
        <w:t>万元，</w:t>
      </w:r>
      <w:r>
        <w:rPr>
          <w:rFonts w:ascii="仿宋_GB2312" w:eastAsia="仿宋_GB2312" w:hAnsi="仿宋" w:hint="eastAsia"/>
          <w:color w:val="000000"/>
          <w:sz w:val="32"/>
          <w:szCs w:val="32"/>
        </w:rPr>
        <w:lastRenderedPageBreak/>
        <w:t>占0%；事业收入0万元，占0%；经营收入0万元，占0%；附属单位上缴收入0万元，占0%；其他收入0万元，占0%。</w:t>
      </w:r>
    </w:p>
    <w:p w:rsidR="00627596" w:rsidRDefault="00402537">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（图2：收入决算结构图）（饼状图）</w:t>
      </w:r>
    </w:p>
    <w:p w:rsidR="00627596" w:rsidRDefault="00402537">
      <w:pPr>
        <w:spacing w:line="6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drawing>
          <wp:anchor distT="0" distB="0" distL="114300" distR="114300" simplePos="0" relativeHeight="251663360" behindDoc="0" locked="0" layoutInCell="1" allowOverlap="1">
            <wp:simplePos x="0" y="0"/>
            <wp:positionH relativeFrom="column">
              <wp:posOffset>-257175</wp:posOffset>
            </wp:positionH>
            <wp:positionV relativeFrom="paragraph">
              <wp:posOffset>207645</wp:posOffset>
            </wp:positionV>
            <wp:extent cx="5729605" cy="2957830"/>
            <wp:effectExtent l="19050" t="0" r="23357"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rPr>
          <w:rFonts w:ascii="仿宋_GB2312" w:eastAsia="仿宋_GB2312"/>
          <w:color w:val="FF0000"/>
          <w:sz w:val="32"/>
          <w:szCs w:val="32"/>
        </w:rPr>
      </w:pPr>
    </w:p>
    <w:p w:rsidR="00627596" w:rsidRDefault="00627596">
      <w:pPr>
        <w:spacing w:line="600" w:lineRule="exact"/>
        <w:rPr>
          <w:rFonts w:ascii="仿宋_GB2312" w:eastAsia="仿宋_GB2312"/>
          <w:color w:val="FF0000"/>
          <w:sz w:val="32"/>
          <w:szCs w:val="32"/>
        </w:rPr>
      </w:pPr>
    </w:p>
    <w:p w:rsidR="00627596" w:rsidRDefault="00402537">
      <w:pPr>
        <w:pStyle w:val="aa"/>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627596" w:rsidRDefault="00402537">
      <w:pPr>
        <w:spacing w:line="600" w:lineRule="exact"/>
        <w:ind w:firstLineChars="200" w:firstLine="640"/>
        <w:outlineLvl w:val="1"/>
        <w:rPr>
          <w:rFonts w:ascii="仿宋_GB2312" w:eastAsia="仿宋_GB2312" w:hAnsi="仿宋"/>
          <w:color w:val="000000"/>
          <w:sz w:val="32"/>
          <w:szCs w:val="32"/>
        </w:rPr>
      </w:pPr>
      <w:r>
        <w:rPr>
          <w:rFonts w:ascii="仿宋_GB2312" w:eastAsia="仿宋_GB2312" w:hAnsi="仿宋" w:hint="eastAsia"/>
          <w:color w:val="000000"/>
          <w:sz w:val="32"/>
          <w:szCs w:val="32"/>
        </w:rPr>
        <w:t>2019年本年支出合计3,123.76万元，其中：基本支出2430.76万元，占77.82%；项目支出693万元，占22.18%；上缴上级支出0万元，占0%；经营支出0万元，占0%；对附属单位补助支出0万元，占0%。</w:t>
      </w:r>
    </w:p>
    <w:p w:rsidR="00627596" w:rsidRDefault="00402537">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（图3：支出决算结构图）（饼状图）</w:t>
      </w:r>
    </w:p>
    <w:p w:rsidR="00627596" w:rsidRDefault="00402537">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65408" behindDoc="0" locked="0" layoutInCell="1" allowOverlap="1">
            <wp:simplePos x="0" y="0"/>
            <wp:positionH relativeFrom="column">
              <wp:posOffset>60325</wp:posOffset>
            </wp:positionH>
            <wp:positionV relativeFrom="paragraph">
              <wp:posOffset>3810</wp:posOffset>
            </wp:positionV>
            <wp:extent cx="5491480" cy="2640965"/>
            <wp:effectExtent l="19050" t="0" r="13970" b="6985"/>
            <wp:wrapNone/>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627596">
      <w:pPr>
        <w:spacing w:line="600" w:lineRule="exact"/>
        <w:ind w:firstLineChars="200" w:firstLine="640"/>
        <w:rPr>
          <w:rFonts w:ascii="仿宋_GB2312" w:eastAsia="仿宋_GB2312"/>
          <w:color w:val="FF0000"/>
          <w:sz w:val="32"/>
          <w:szCs w:val="32"/>
        </w:rPr>
      </w:pPr>
    </w:p>
    <w:p w:rsidR="00627596" w:rsidRDefault="00402537">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627596" w:rsidRDefault="00402537">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财政拨款收入3125.39万元，政拨款支出3123.76万元。与2018年相比，财政拨款收入增加140.49万元，增长4.7%；财政拨款支出增加146.21万元，增长4.9%。主要变动原因是审判业务增加、智慧法院建设等因素，办案业务和人员保障经费等相应增加。</w:t>
      </w:r>
    </w:p>
    <w:p w:rsidR="00627596" w:rsidRDefault="00402537">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（图4：财政拨款收、支决算总计变动情况）（柱状图）</w:t>
      </w:r>
    </w:p>
    <w:p w:rsidR="00627596" w:rsidRDefault="00402537">
      <w:pPr>
        <w:spacing w:line="600" w:lineRule="exact"/>
        <w:ind w:firstLine="640"/>
        <w:rPr>
          <w:rFonts w:ascii="仿宋" w:eastAsia="仿宋" w:hAnsi="仿宋"/>
          <w:b/>
          <w:color w:val="00B050"/>
          <w:sz w:val="32"/>
          <w:szCs w:val="32"/>
        </w:rPr>
      </w:pPr>
      <w:r>
        <w:rPr>
          <w:rFonts w:ascii="仿宋" w:eastAsia="仿宋" w:hAnsi="仿宋" w:hint="eastAsia"/>
          <w:b/>
          <w:noProof/>
          <w:color w:val="00B050"/>
          <w:sz w:val="32"/>
          <w:szCs w:val="32"/>
        </w:rPr>
        <w:drawing>
          <wp:anchor distT="0" distB="0" distL="114300" distR="114300" simplePos="0" relativeHeight="251667456" behindDoc="0" locked="0" layoutInCell="1" allowOverlap="1">
            <wp:simplePos x="0" y="0"/>
            <wp:positionH relativeFrom="column">
              <wp:posOffset>-169545</wp:posOffset>
            </wp:positionH>
            <wp:positionV relativeFrom="paragraph">
              <wp:posOffset>73660</wp:posOffset>
            </wp:positionV>
            <wp:extent cx="5324475" cy="3509645"/>
            <wp:effectExtent l="19050" t="0" r="9774" b="0"/>
            <wp:wrapNone/>
            <wp:docPr id="9"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640"/>
        <w:rPr>
          <w:rFonts w:ascii="仿宋" w:eastAsia="仿宋" w:hAnsi="仿宋"/>
          <w:b/>
          <w:color w:val="00B050"/>
          <w:sz w:val="32"/>
          <w:szCs w:val="32"/>
        </w:rPr>
      </w:pPr>
    </w:p>
    <w:p w:rsidR="00627596" w:rsidRDefault="00627596">
      <w:pPr>
        <w:spacing w:line="600" w:lineRule="exact"/>
        <w:ind w:firstLineChars="200" w:firstLine="640"/>
        <w:outlineLvl w:val="1"/>
        <w:rPr>
          <w:rFonts w:ascii="黑体" w:eastAsia="黑体" w:hAnsi="黑体"/>
          <w:color w:val="000000"/>
          <w:sz w:val="32"/>
          <w:szCs w:val="32"/>
        </w:rPr>
      </w:pPr>
      <w:bookmarkStart w:id="32" w:name="_Toc15396607"/>
      <w:bookmarkStart w:id="33" w:name="_Toc15377209"/>
    </w:p>
    <w:p w:rsidR="00627596" w:rsidRDefault="00402537">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627596" w:rsidRDefault="00402537">
      <w:pPr>
        <w:spacing w:line="600" w:lineRule="exact"/>
        <w:ind w:firstLineChars="200" w:firstLine="640"/>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627596" w:rsidRDefault="00402537">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2019年一般公共预算财政拨款支出3059.35万元，占本年支出合计的97.94%。与2018年相比一般公共预算财政拨款增加89.8万元，增长3.02%。主要变动原因是审判业务增</w:t>
      </w:r>
      <w:r>
        <w:rPr>
          <w:rFonts w:ascii="仿宋_GB2312" w:eastAsia="仿宋_GB2312" w:hAnsi="仿宋" w:hint="eastAsia"/>
          <w:color w:val="000000"/>
          <w:sz w:val="32"/>
          <w:szCs w:val="32"/>
        </w:rPr>
        <w:lastRenderedPageBreak/>
        <w:t>加、智慧法院建设等因素，办案业务和人员保障经费等相应增加。</w:t>
      </w:r>
    </w:p>
    <w:p w:rsidR="00627596" w:rsidRDefault="00402537">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（图5：一般公共预算财政拨款支出决算变动情况）（柱状图）</w:t>
      </w:r>
    </w:p>
    <w:p w:rsidR="00627596" w:rsidRDefault="00627596">
      <w:pPr>
        <w:spacing w:line="600" w:lineRule="exact"/>
        <w:ind w:firstLineChars="200" w:firstLine="640"/>
        <w:rPr>
          <w:rFonts w:ascii="仿宋_GB2312" w:eastAsia="仿宋_GB2312" w:hAnsi="仿宋"/>
          <w:color w:val="000000" w:themeColor="text1"/>
          <w:sz w:val="32"/>
          <w:szCs w:val="32"/>
        </w:rPr>
      </w:pPr>
    </w:p>
    <w:p w:rsidR="00627596" w:rsidRDefault="00402537">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5648" behindDoc="0" locked="0" layoutInCell="1" allowOverlap="1">
            <wp:simplePos x="0" y="0"/>
            <wp:positionH relativeFrom="column">
              <wp:posOffset>-193040</wp:posOffset>
            </wp:positionH>
            <wp:positionV relativeFrom="paragraph">
              <wp:posOffset>254000</wp:posOffset>
            </wp:positionV>
            <wp:extent cx="5492750" cy="2433320"/>
            <wp:effectExtent l="19050" t="0" r="12949" b="5301"/>
            <wp:wrapNone/>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ind w:firstLineChars="200" w:firstLine="640"/>
        <w:rPr>
          <w:rFonts w:ascii="仿宋" w:eastAsia="仿宋" w:hAnsi="仿宋"/>
          <w:color w:val="000000" w:themeColor="text1"/>
          <w:sz w:val="32"/>
          <w:szCs w:val="32"/>
        </w:rPr>
      </w:pPr>
    </w:p>
    <w:p w:rsidR="00627596" w:rsidRDefault="00627596">
      <w:pPr>
        <w:spacing w:line="600" w:lineRule="exact"/>
        <w:rPr>
          <w:rFonts w:ascii="仿宋" w:eastAsia="仿宋" w:hAnsi="仿宋"/>
          <w:color w:val="000000" w:themeColor="text1"/>
          <w:sz w:val="32"/>
          <w:szCs w:val="32"/>
        </w:rPr>
      </w:pPr>
    </w:p>
    <w:p w:rsidR="00627596" w:rsidRDefault="00402537">
      <w:pPr>
        <w:spacing w:line="600" w:lineRule="exact"/>
        <w:ind w:firstLineChars="200" w:firstLine="640"/>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627596" w:rsidRDefault="00402537">
      <w:pPr>
        <w:spacing w:line="600" w:lineRule="exact"/>
        <w:ind w:firstLine="640"/>
        <w:rPr>
          <w:rFonts w:ascii="仿宋_GB2312" w:eastAsia="仿宋_GB2312" w:hAnsi="仿宋"/>
          <w:b/>
          <w:color w:val="000000" w:themeColor="text1"/>
          <w:sz w:val="32"/>
          <w:szCs w:val="32"/>
        </w:rPr>
      </w:pPr>
      <w:r>
        <w:rPr>
          <w:rFonts w:ascii="仿宋_GB2312" w:eastAsia="仿宋_GB2312" w:hAnsi="仿宋" w:hint="eastAsia"/>
          <w:color w:val="000000"/>
          <w:sz w:val="32"/>
          <w:szCs w:val="32"/>
        </w:rPr>
        <w:t>2019年一般公共预算财</w:t>
      </w:r>
      <w:r>
        <w:rPr>
          <w:rFonts w:ascii="仿宋_GB2312" w:eastAsia="仿宋_GB2312" w:hAnsi="仿宋" w:hint="eastAsia"/>
          <w:color w:val="000000" w:themeColor="text1"/>
          <w:sz w:val="32"/>
          <w:szCs w:val="32"/>
        </w:rPr>
        <w:t>政拨款支出3059.35万元，主要用于以下方面:</w:t>
      </w:r>
      <w:r>
        <w:rPr>
          <w:rFonts w:ascii="仿宋_GB2312" w:eastAsia="仿宋_GB2312" w:hAnsi="仿宋" w:hint="eastAsia"/>
          <w:b/>
          <w:color w:val="000000" w:themeColor="text1"/>
          <w:sz w:val="32"/>
          <w:szCs w:val="32"/>
        </w:rPr>
        <w:t>公共安全支出（类）</w:t>
      </w:r>
      <w:r>
        <w:rPr>
          <w:rFonts w:ascii="仿宋_GB2312" w:eastAsia="仿宋_GB2312" w:hAnsi="仿宋" w:hint="eastAsia"/>
          <w:color w:val="000000" w:themeColor="text1"/>
          <w:sz w:val="32"/>
          <w:szCs w:val="32"/>
        </w:rPr>
        <w:t>支出2677.25万元，占87.51%；</w:t>
      </w:r>
      <w:r>
        <w:rPr>
          <w:rFonts w:ascii="仿宋_GB2312" w:eastAsia="仿宋_GB2312" w:hAnsi="仿宋" w:hint="eastAsia"/>
          <w:b/>
          <w:color w:val="000000" w:themeColor="text1"/>
          <w:sz w:val="32"/>
          <w:szCs w:val="32"/>
        </w:rPr>
        <w:t>社会保障和就业（类）</w:t>
      </w:r>
      <w:r>
        <w:rPr>
          <w:rFonts w:ascii="仿宋_GB2312" w:eastAsia="仿宋_GB2312" w:hAnsi="仿宋" w:hint="eastAsia"/>
          <w:color w:val="000000" w:themeColor="text1"/>
          <w:sz w:val="32"/>
          <w:szCs w:val="32"/>
        </w:rPr>
        <w:t>支出185.44万元，占6.06%；</w:t>
      </w:r>
      <w:r>
        <w:rPr>
          <w:rFonts w:ascii="仿宋_GB2312" w:eastAsia="仿宋_GB2312" w:hAnsi="仿宋" w:hint="eastAsia"/>
          <w:b/>
          <w:bCs/>
          <w:color w:val="000000" w:themeColor="text1"/>
          <w:sz w:val="32"/>
          <w:szCs w:val="32"/>
        </w:rPr>
        <w:t>卫生健康支出（类）</w:t>
      </w:r>
      <w:r>
        <w:rPr>
          <w:rFonts w:ascii="仿宋_GB2312" w:eastAsia="仿宋_GB2312" w:hAnsi="仿宋" w:hint="eastAsia"/>
          <w:color w:val="000000" w:themeColor="text1"/>
          <w:sz w:val="32"/>
          <w:szCs w:val="32"/>
        </w:rPr>
        <w:t>46.11万元，占1.51%；</w:t>
      </w:r>
      <w:r>
        <w:rPr>
          <w:rFonts w:ascii="仿宋_GB2312" w:eastAsia="仿宋_GB2312" w:hAnsi="仿宋" w:hint="eastAsia"/>
          <w:b/>
          <w:color w:val="000000" w:themeColor="text1"/>
          <w:sz w:val="32"/>
          <w:szCs w:val="32"/>
        </w:rPr>
        <w:t>住房保障支出（类）</w:t>
      </w:r>
      <w:r>
        <w:rPr>
          <w:rFonts w:ascii="仿宋_GB2312" w:eastAsia="仿宋_GB2312" w:hAnsi="仿宋" w:hint="eastAsia"/>
          <w:color w:val="000000" w:themeColor="text1"/>
          <w:sz w:val="32"/>
          <w:szCs w:val="32"/>
        </w:rPr>
        <w:t>150.55万元，占4.92%。</w:t>
      </w:r>
    </w:p>
    <w:p w:rsidR="00627596" w:rsidRDefault="00402537">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（图6：一般公共预算财政拨款支出决算结构）（饼状图）</w:t>
      </w: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402537">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71552" behindDoc="0" locked="0" layoutInCell="1" allowOverlap="1">
            <wp:simplePos x="0" y="0"/>
            <wp:positionH relativeFrom="column">
              <wp:posOffset>-66675</wp:posOffset>
            </wp:positionH>
            <wp:positionV relativeFrom="paragraph">
              <wp:posOffset>209550</wp:posOffset>
            </wp:positionV>
            <wp:extent cx="5497830" cy="2962275"/>
            <wp:effectExtent l="19050" t="0" r="26670" b="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rPr>
          <w:rFonts w:ascii="仿宋" w:eastAsia="仿宋" w:hAnsi="仿宋"/>
          <w:color w:val="000000"/>
          <w:sz w:val="32"/>
          <w:szCs w:val="32"/>
        </w:rPr>
      </w:pPr>
    </w:p>
    <w:p w:rsidR="00627596" w:rsidRDefault="00627596">
      <w:pPr>
        <w:spacing w:line="600" w:lineRule="exact"/>
        <w:ind w:firstLineChars="200" w:firstLine="640"/>
        <w:outlineLvl w:val="2"/>
        <w:rPr>
          <w:rFonts w:ascii="仿宋" w:eastAsia="仿宋" w:hAnsi="仿宋"/>
          <w:b/>
          <w:color w:val="000000"/>
          <w:sz w:val="32"/>
          <w:szCs w:val="32"/>
        </w:rPr>
      </w:pPr>
      <w:bookmarkStart w:id="36" w:name="_Toc15377212"/>
    </w:p>
    <w:p w:rsidR="00627596" w:rsidRDefault="00627596">
      <w:pPr>
        <w:spacing w:line="600" w:lineRule="exact"/>
        <w:ind w:firstLineChars="200" w:firstLine="640"/>
        <w:outlineLvl w:val="2"/>
        <w:rPr>
          <w:rFonts w:ascii="仿宋" w:eastAsia="仿宋" w:hAnsi="仿宋"/>
          <w:b/>
          <w:color w:val="000000"/>
          <w:sz w:val="32"/>
          <w:szCs w:val="32"/>
        </w:rPr>
      </w:pPr>
    </w:p>
    <w:p w:rsidR="00627596" w:rsidRDefault="00402537">
      <w:pPr>
        <w:spacing w:line="600" w:lineRule="exact"/>
        <w:ind w:firstLineChars="200" w:firstLine="640"/>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6"/>
    </w:p>
    <w:p w:rsidR="00627596" w:rsidRDefault="00402537">
      <w:pPr>
        <w:spacing w:line="600" w:lineRule="exact"/>
        <w:ind w:firstLineChars="200" w:firstLine="643"/>
        <w:outlineLvl w:val="2"/>
        <w:rPr>
          <w:rFonts w:ascii="仿宋_GB2312" w:eastAsia="仿宋_GB2312" w:hAnsi="仿宋"/>
          <w:color w:val="FF0000"/>
          <w:sz w:val="32"/>
          <w:szCs w:val="32"/>
        </w:rPr>
      </w:pPr>
      <w:bookmarkStart w:id="37" w:name="_Toc15377213"/>
      <w:bookmarkStart w:id="38" w:name="_Toc15378460"/>
      <w:bookmarkStart w:id="39" w:name="_Toc15377444"/>
      <w:r>
        <w:rPr>
          <w:rFonts w:ascii="仿宋_GB2312" w:eastAsia="仿宋_GB2312" w:hAnsi="仿宋" w:hint="eastAsia"/>
          <w:b/>
          <w:color w:val="000000" w:themeColor="text1"/>
          <w:sz w:val="32"/>
          <w:szCs w:val="32"/>
        </w:rPr>
        <w:t>2019年一般公共预算支出决算数为3059.35</w:t>
      </w:r>
      <w:r w:rsidR="004B1617">
        <w:rPr>
          <w:rFonts w:ascii="仿宋_GB2312" w:eastAsia="仿宋_GB2312" w:hAnsi="仿宋" w:hint="eastAsia"/>
          <w:b/>
          <w:color w:val="000000" w:themeColor="text1"/>
          <w:sz w:val="32"/>
          <w:szCs w:val="32"/>
        </w:rPr>
        <w:t>万元</w:t>
      </w:r>
      <w:r>
        <w:rPr>
          <w:rFonts w:ascii="仿宋_GB2312" w:eastAsia="仿宋_GB2312" w:hAnsi="仿宋" w:hint="eastAsia"/>
          <w:color w:val="000000" w:themeColor="text1"/>
          <w:sz w:val="32"/>
          <w:szCs w:val="32"/>
        </w:rPr>
        <w:t>，</w:t>
      </w:r>
      <w:r>
        <w:rPr>
          <w:rStyle w:val="a8"/>
          <w:rFonts w:ascii="仿宋_GB2312" w:eastAsia="仿宋_GB2312" w:hAnsi="仿宋" w:hint="eastAsia"/>
          <w:bCs/>
          <w:color w:val="000000" w:themeColor="text1"/>
          <w:sz w:val="32"/>
          <w:szCs w:val="32"/>
        </w:rPr>
        <w:t>完成</w:t>
      </w:r>
      <w:r>
        <w:rPr>
          <w:rStyle w:val="a8"/>
          <w:rFonts w:ascii="仿宋_GB2312" w:eastAsia="仿宋_GB2312" w:hAnsi="仿宋" w:hint="eastAsia"/>
          <w:bCs/>
          <w:color w:val="000000"/>
          <w:sz w:val="32"/>
          <w:szCs w:val="32"/>
        </w:rPr>
        <w:t>预算99.95%。其中：</w:t>
      </w:r>
      <w:bookmarkEnd w:id="37"/>
      <w:bookmarkEnd w:id="38"/>
      <w:bookmarkEnd w:id="39"/>
    </w:p>
    <w:p w:rsidR="00627596" w:rsidRDefault="00402537">
      <w:pPr>
        <w:spacing w:line="600" w:lineRule="exact"/>
        <w:ind w:firstLine="640"/>
        <w:rPr>
          <w:rStyle w:val="a8"/>
          <w:rFonts w:ascii="仿宋_GB2312" w:eastAsia="仿宋_GB2312" w:hAnsi="仿宋"/>
          <w:b w:val="0"/>
          <w:bCs/>
          <w:color w:val="000000"/>
          <w:sz w:val="32"/>
          <w:szCs w:val="32"/>
        </w:rPr>
      </w:pPr>
      <w:r>
        <w:rPr>
          <w:rStyle w:val="a8"/>
          <w:rFonts w:ascii="仿宋_GB2312" w:eastAsia="仿宋_GB2312" w:hAnsi="仿宋" w:hint="eastAsia"/>
          <w:b w:val="0"/>
          <w:bCs/>
          <w:color w:val="000000"/>
          <w:sz w:val="32"/>
          <w:szCs w:val="32"/>
        </w:rPr>
        <w:t>1.</w:t>
      </w:r>
      <w:r>
        <w:rPr>
          <w:rFonts w:ascii="仿宋_GB2312" w:eastAsia="仿宋_GB2312" w:hAnsi="仿宋" w:hint="eastAsia"/>
          <w:b/>
          <w:color w:val="000000" w:themeColor="text1"/>
          <w:sz w:val="32"/>
          <w:szCs w:val="32"/>
        </w:rPr>
        <w:t xml:space="preserve"> 公共安全支出（类）</w:t>
      </w:r>
      <w:r>
        <w:rPr>
          <w:rStyle w:val="a8"/>
          <w:rFonts w:ascii="仿宋_GB2312" w:eastAsia="仿宋_GB2312" w:hAnsi="仿宋" w:hint="eastAsia"/>
          <w:bCs/>
          <w:color w:val="000000"/>
          <w:sz w:val="32"/>
          <w:szCs w:val="32"/>
        </w:rPr>
        <w:t>法院（款）行政运行（项）:</w:t>
      </w:r>
      <w:r>
        <w:rPr>
          <w:rStyle w:val="a8"/>
          <w:rFonts w:ascii="仿宋_GB2312" w:eastAsia="仿宋_GB2312" w:hAnsi="仿宋" w:hint="eastAsia"/>
          <w:b w:val="0"/>
          <w:bCs/>
          <w:color w:val="000000"/>
          <w:sz w:val="32"/>
          <w:szCs w:val="32"/>
        </w:rPr>
        <w:t xml:space="preserve"> 支出决算为1963.91万元，完成预算100%。</w:t>
      </w:r>
    </w:p>
    <w:p w:rsidR="00627596" w:rsidRDefault="00402537">
      <w:pPr>
        <w:spacing w:line="600" w:lineRule="exact"/>
        <w:ind w:firstLine="640"/>
        <w:rPr>
          <w:rStyle w:val="a8"/>
          <w:rFonts w:ascii="仿宋_GB2312" w:eastAsia="仿宋_GB2312" w:hAnsi="仿宋"/>
          <w:b w:val="0"/>
          <w:bCs/>
          <w:color w:val="000000"/>
          <w:sz w:val="32"/>
          <w:szCs w:val="32"/>
        </w:rPr>
      </w:pPr>
      <w:r>
        <w:rPr>
          <w:rStyle w:val="a8"/>
          <w:rFonts w:ascii="仿宋_GB2312" w:eastAsia="仿宋_GB2312" w:hAnsi="仿宋" w:hint="eastAsia"/>
          <w:b w:val="0"/>
          <w:bCs/>
          <w:color w:val="000000"/>
          <w:sz w:val="32"/>
          <w:szCs w:val="32"/>
        </w:rPr>
        <w:t>2.</w:t>
      </w:r>
      <w:r>
        <w:rPr>
          <w:rFonts w:ascii="仿宋_GB2312" w:eastAsia="仿宋_GB2312" w:hAnsi="仿宋" w:hint="eastAsia"/>
          <w:b/>
          <w:color w:val="000000" w:themeColor="text1"/>
          <w:sz w:val="32"/>
          <w:szCs w:val="32"/>
        </w:rPr>
        <w:t xml:space="preserve"> 公共安全支出（类）</w:t>
      </w:r>
      <w:r>
        <w:rPr>
          <w:rStyle w:val="a8"/>
          <w:rFonts w:ascii="仿宋_GB2312" w:eastAsia="仿宋_GB2312" w:hAnsi="仿宋" w:hint="eastAsia"/>
          <w:bCs/>
          <w:color w:val="000000"/>
          <w:sz w:val="32"/>
          <w:szCs w:val="32"/>
        </w:rPr>
        <w:t>法院（款）一般行政管理事务（项）:</w:t>
      </w:r>
      <w:r>
        <w:rPr>
          <w:rStyle w:val="a8"/>
          <w:rFonts w:ascii="仿宋_GB2312" w:eastAsia="仿宋_GB2312" w:hAnsi="仿宋" w:hint="eastAsia"/>
          <w:b w:val="0"/>
          <w:bCs/>
          <w:color w:val="000000"/>
          <w:sz w:val="32"/>
          <w:szCs w:val="32"/>
        </w:rPr>
        <w:t xml:space="preserve"> 支出决算为565.33万元，完成预算72.56%，决算数小于预算数的主要原因是</w:t>
      </w:r>
      <w:r w:rsidRPr="008D2FAF">
        <w:rPr>
          <w:rStyle w:val="a8"/>
          <w:rFonts w:ascii="仿宋_GB2312" w:eastAsia="仿宋_GB2312" w:hAnsi="仿宋" w:hint="eastAsia"/>
          <w:b w:val="0"/>
          <w:bCs/>
          <w:color w:val="000000"/>
          <w:sz w:val="32"/>
          <w:szCs w:val="32"/>
        </w:rPr>
        <w:t>结转公共安全一般转移支付资金。</w:t>
      </w:r>
    </w:p>
    <w:p w:rsidR="00627596" w:rsidRDefault="00402537">
      <w:pPr>
        <w:spacing w:line="600" w:lineRule="exact"/>
        <w:ind w:firstLine="640"/>
        <w:rPr>
          <w:rStyle w:val="a8"/>
          <w:rFonts w:ascii="仿宋_GB2312" w:eastAsia="仿宋_GB2312" w:hAnsi="仿宋"/>
          <w:b w:val="0"/>
          <w:bCs/>
          <w:color w:val="000000"/>
          <w:sz w:val="32"/>
          <w:szCs w:val="32"/>
        </w:rPr>
      </w:pPr>
      <w:r>
        <w:rPr>
          <w:rStyle w:val="a8"/>
          <w:rFonts w:ascii="仿宋_GB2312" w:eastAsia="仿宋_GB2312" w:hAnsi="仿宋" w:hint="eastAsia"/>
          <w:b w:val="0"/>
          <w:bCs/>
          <w:color w:val="000000"/>
          <w:sz w:val="32"/>
          <w:szCs w:val="32"/>
        </w:rPr>
        <w:t>3.</w:t>
      </w:r>
      <w:r>
        <w:rPr>
          <w:rFonts w:ascii="仿宋_GB2312" w:eastAsia="仿宋_GB2312" w:hAnsi="仿宋" w:hint="eastAsia"/>
          <w:b/>
          <w:color w:val="000000" w:themeColor="text1"/>
          <w:sz w:val="32"/>
          <w:szCs w:val="32"/>
        </w:rPr>
        <w:t xml:space="preserve"> 公共安全支出（类）</w:t>
      </w:r>
      <w:r>
        <w:rPr>
          <w:rStyle w:val="a8"/>
          <w:rFonts w:ascii="仿宋_GB2312" w:eastAsia="仿宋_GB2312" w:hAnsi="仿宋" w:hint="eastAsia"/>
          <w:bCs/>
          <w:color w:val="000000"/>
          <w:sz w:val="32"/>
          <w:szCs w:val="32"/>
        </w:rPr>
        <w:t>法院（款）事业运行（项）:</w:t>
      </w:r>
      <w:r>
        <w:rPr>
          <w:rStyle w:val="a8"/>
          <w:rFonts w:ascii="仿宋_GB2312" w:eastAsia="仿宋_GB2312" w:hAnsi="仿宋" w:hint="eastAsia"/>
          <w:b w:val="0"/>
          <w:bCs/>
          <w:color w:val="000000"/>
          <w:sz w:val="32"/>
          <w:szCs w:val="32"/>
        </w:rPr>
        <w:t xml:space="preserve"> 支出决算为84.74万元，完成预算100%，。</w:t>
      </w:r>
    </w:p>
    <w:p w:rsidR="00627596" w:rsidRDefault="00402537">
      <w:pPr>
        <w:spacing w:line="600" w:lineRule="exact"/>
        <w:ind w:firstLine="640"/>
        <w:rPr>
          <w:rFonts w:ascii="仿宋_GB2312" w:eastAsia="仿宋_GB2312" w:hAnsi="仿宋"/>
          <w:bCs/>
          <w:color w:val="000000"/>
          <w:sz w:val="32"/>
          <w:szCs w:val="32"/>
        </w:rPr>
      </w:pPr>
      <w:r>
        <w:rPr>
          <w:rStyle w:val="a8"/>
          <w:rFonts w:ascii="仿宋_GB2312" w:eastAsia="仿宋_GB2312" w:hAnsi="仿宋" w:hint="eastAsia"/>
          <w:b w:val="0"/>
          <w:bCs/>
          <w:color w:val="000000"/>
          <w:sz w:val="32"/>
          <w:szCs w:val="32"/>
        </w:rPr>
        <w:t>4.</w:t>
      </w:r>
      <w:r>
        <w:rPr>
          <w:rFonts w:ascii="仿宋_GB2312" w:eastAsia="仿宋_GB2312" w:hAnsi="仿宋" w:hint="eastAsia"/>
          <w:b/>
          <w:color w:val="000000" w:themeColor="text1"/>
          <w:sz w:val="32"/>
          <w:szCs w:val="32"/>
        </w:rPr>
        <w:t xml:space="preserve"> 公共安全支出（类）</w:t>
      </w:r>
      <w:r>
        <w:rPr>
          <w:rStyle w:val="a8"/>
          <w:rFonts w:ascii="仿宋_GB2312" w:eastAsia="仿宋_GB2312" w:hAnsi="仿宋" w:hint="eastAsia"/>
          <w:bCs/>
          <w:color w:val="000000"/>
          <w:sz w:val="32"/>
          <w:szCs w:val="32"/>
        </w:rPr>
        <w:t>法院（款）其他法院支出（项）:</w:t>
      </w:r>
      <w:r>
        <w:rPr>
          <w:rStyle w:val="a8"/>
          <w:rFonts w:ascii="仿宋_GB2312" w:eastAsia="仿宋_GB2312" w:hAnsi="仿宋" w:hint="eastAsia"/>
          <w:b w:val="0"/>
          <w:bCs/>
          <w:color w:val="000000"/>
          <w:sz w:val="32"/>
          <w:szCs w:val="32"/>
        </w:rPr>
        <w:t xml:space="preserve"> 支出决算为63.27万元，完成预算100%。</w:t>
      </w:r>
    </w:p>
    <w:p w:rsidR="00627596" w:rsidRDefault="00402537">
      <w:pPr>
        <w:spacing w:line="600" w:lineRule="exact"/>
        <w:ind w:firstLineChars="200" w:firstLine="643"/>
        <w:rPr>
          <w:rStyle w:val="a8"/>
          <w:rFonts w:ascii="仿宋_GB2312" w:eastAsia="仿宋_GB2312" w:hAnsi="仿宋"/>
          <w:b w:val="0"/>
          <w:bCs/>
          <w:color w:val="000000"/>
          <w:sz w:val="32"/>
          <w:szCs w:val="32"/>
        </w:rPr>
      </w:pPr>
      <w:r>
        <w:rPr>
          <w:rStyle w:val="a8"/>
          <w:rFonts w:ascii="仿宋_GB2312" w:eastAsia="仿宋_GB2312" w:hAnsi="仿宋" w:hint="eastAsia"/>
          <w:bCs/>
          <w:color w:val="000000"/>
          <w:sz w:val="32"/>
          <w:szCs w:val="32"/>
        </w:rPr>
        <w:t>5.社会保障和就业（类）行政事业单位离退休（款）未</w:t>
      </w:r>
      <w:r>
        <w:rPr>
          <w:rStyle w:val="a8"/>
          <w:rFonts w:ascii="仿宋_GB2312" w:eastAsia="仿宋_GB2312" w:hAnsi="仿宋" w:hint="eastAsia"/>
          <w:bCs/>
          <w:color w:val="000000"/>
          <w:sz w:val="32"/>
          <w:szCs w:val="32"/>
        </w:rPr>
        <w:lastRenderedPageBreak/>
        <w:t>归口管理的行政单位离退休（项）:</w:t>
      </w:r>
      <w:r>
        <w:rPr>
          <w:rStyle w:val="a8"/>
          <w:rFonts w:ascii="仿宋_GB2312" w:eastAsia="仿宋_GB2312" w:hAnsi="仿宋" w:hint="eastAsia"/>
          <w:b w:val="0"/>
          <w:bCs/>
          <w:color w:val="000000"/>
          <w:sz w:val="32"/>
          <w:szCs w:val="32"/>
        </w:rPr>
        <w:t xml:space="preserve"> 支出决算为14.32万元，完成预算100%。</w:t>
      </w:r>
    </w:p>
    <w:p w:rsidR="00627596" w:rsidRDefault="00402537">
      <w:pPr>
        <w:spacing w:line="600" w:lineRule="exact"/>
        <w:ind w:firstLineChars="200" w:firstLine="643"/>
        <w:rPr>
          <w:rStyle w:val="a8"/>
          <w:rFonts w:ascii="仿宋_GB2312" w:eastAsia="仿宋_GB2312" w:hAnsi="仿宋"/>
          <w:b w:val="0"/>
          <w:bCs/>
          <w:color w:val="000000"/>
          <w:sz w:val="32"/>
          <w:szCs w:val="32"/>
        </w:rPr>
      </w:pPr>
      <w:r>
        <w:rPr>
          <w:rStyle w:val="a8"/>
          <w:rFonts w:ascii="仿宋_GB2312" w:eastAsia="仿宋_GB2312" w:hAnsi="仿宋" w:hint="eastAsia"/>
          <w:bCs/>
          <w:color w:val="000000"/>
          <w:sz w:val="32"/>
          <w:szCs w:val="32"/>
        </w:rPr>
        <w:t>6.社会保障和就业（类）行政事业单位离退休（款）机关事业单位基本养老保险缴费支出（项）:</w:t>
      </w:r>
      <w:r>
        <w:rPr>
          <w:rStyle w:val="a8"/>
          <w:rFonts w:ascii="仿宋_GB2312" w:eastAsia="仿宋_GB2312" w:hAnsi="仿宋" w:hint="eastAsia"/>
          <w:b w:val="0"/>
          <w:bCs/>
          <w:color w:val="000000"/>
          <w:sz w:val="32"/>
          <w:szCs w:val="32"/>
        </w:rPr>
        <w:t xml:space="preserve"> 支出决算为115.15万元，完成预算100%。</w:t>
      </w:r>
    </w:p>
    <w:p w:rsidR="00627596" w:rsidRDefault="00402537">
      <w:pPr>
        <w:spacing w:line="600" w:lineRule="exact"/>
        <w:ind w:firstLineChars="200" w:firstLine="643"/>
        <w:rPr>
          <w:rStyle w:val="a8"/>
          <w:rFonts w:ascii="仿宋_GB2312" w:eastAsia="仿宋_GB2312" w:hAnsi="仿宋"/>
          <w:b w:val="0"/>
          <w:bCs/>
          <w:color w:val="000000"/>
          <w:sz w:val="32"/>
          <w:szCs w:val="32"/>
        </w:rPr>
      </w:pPr>
      <w:r>
        <w:rPr>
          <w:rStyle w:val="a8"/>
          <w:rFonts w:ascii="仿宋_GB2312" w:eastAsia="仿宋_GB2312" w:hAnsi="仿宋" w:hint="eastAsia"/>
          <w:bCs/>
          <w:color w:val="000000"/>
          <w:sz w:val="32"/>
          <w:szCs w:val="32"/>
        </w:rPr>
        <w:t>7.社会保障和就业（类）行政事业单位离退休（款）机关事业单位职业年金缴费支出（项）:</w:t>
      </w:r>
      <w:r>
        <w:rPr>
          <w:rStyle w:val="a8"/>
          <w:rFonts w:ascii="仿宋_GB2312" w:eastAsia="仿宋_GB2312" w:hAnsi="仿宋" w:hint="eastAsia"/>
          <w:b w:val="0"/>
          <w:bCs/>
          <w:color w:val="000000"/>
          <w:sz w:val="32"/>
          <w:szCs w:val="32"/>
        </w:rPr>
        <w:t xml:space="preserve"> 支出决算为53.74万元，完成预算100%。</w:t>
      </w:r>
    </w:p>
    <w:p w:rsidR="00627596" w:rsidRDefault="00402537">
      <w:pPr>
        <w:spacing w:line="600" w:lineRule="exact"/>
        <w:ind w:firstLineChars="200" w:firstLine="643"/>
        <w:rPr>
          <w:rFonts w:ascii="仿宋_GB2312" w:eastAsia="仿宋_GB2312" w:hAnsi="仿宋"/>
          <w:bCs/>
          <w:color w:val="000000"/>
          <w:sz w:val="32"/>
          <w:szCs w:val="32"/>
        </w:rPr>
      </w:pPr>
      <w:r>
        <w:rPr>
          <w:rStyle w:val="a8"/>
          <w:rFonts w:ascii="仿宋_GB2312" w:eastAsia="仿宋_GB2312" w:hAnsi="仿宋" w:hint="eastAsia"/>
          <w:bCs/>
          <w:color w:val="000000"/>
          <w:sz w:val="32"/>
          <w:szCs w:val="32"/>
        </w:rPr>
        <w:t>8.社会保障和就业（类）抚恤（款）其他优抚支出（项）:</w:t>
      </w:r>
      <w:r>
        <w:rPr>
          <w:rStyle w:val="a8"/>
          <w:rFonts w:ascii="仿宋_GB2312" w:eastAsia="仿宋_GB2312" w:hAnsi="仿宋" w:hint="eastAsia"/>
          <w:b w:val="0"/>
          <w:bCs/>
          <w:color w:val="000000"/>
          <w:sz w:val="32"/>
          <w:szCs w:val="32"/>
        </w:rPr>
        <w:t xml:space="preserve"> 支出决算为2.22万元，完成预算100%。</w:t>
      </w:r>
    </w:p>
    <w:p w:rsidR="00627596" w:rsidRDefault="00402537">
      <w:pPr>
        <w:spacing w:line="600" w:lineRule="exact"/>
        <w:ind w:firstLineChars="200" w:firstLine="643"/>
        <w:rPr>
          <w:rFonts w:ascii="仿宋_GB2312" w:eastAsia="仿宋_GB2312" w:hAnsi="仿宋"/>
          <w:b/>
          <w:color w:val="000000"/>
          <w:sz w:val="32"/>
          <w:szCs w:val="32"/>
        </w:rPr>
      </w:pPr>
      <w:r>
        <w:rPr>
          <w:rStyle w:val="a8"/>
          <w:rFonts w:ascii="仿宋_GB2312" w:eastAsia="仿宋_GB2312" w:hAnsi="仿宋" w:hint="eastAsia"/>
          <w:bCs/>
          <w:color w:val="000000"/>
          <w:sz w:val="32"/>
          <w:szCs w:val="32"/>
        </w:rPr>
        <w:t>9.</w:t>
      </w:r>
      <w:r>
        <w:rPr>
          <w:rFonts w:ascii="仿宋_GB2312" w:eastAsia="仿宋_GB2312" w:hAnsi="仿宋" w:hint="eastAsia"/>
          <w:b/>
          <w:bCs/>
          <w:color w:val="000000" w:themeColor="text1"/>
          <w:sz w:val="32"/>
          <w:szCs w:val="32"/>
        </w:rPr>
        <w:t>卫生健康支出</w:t>
      </w:r>
      <w:r>
        <w:rPr>
          <w:rStyle w:val="a8"/>
          <w:rFonts w:ascii="仿宋_GB2312" w:eastAsia="仿宋_GB2312" w:hAnsi="仿宋" w:hint="eastAsia"/>
          <w:bCs/>
          <w:color w:val="000000"/>
          <w:sz w:val="32"/>
          <w:szCs w:val="32"/>
        </w:rPr>
        <w:t>（类）行政事业单位医疗（款）行政单位医疗（项）:</w:t>
      </w:r>
      <w:r>
        <w:rPr>
          <w:rStyle w:val="a8"/>
          <w:rFonts w:ascii="仿宋_GB2312" w:eastAsia="仿宋_GB2312" w:hAnsi="仿宋" w:hint="eastAsia"/>
          <w:b w:val="0"/>
          <w:bCs/>
          <w:color w:val="000000"/>
          <w:sz w:val="32"/>
          <w:szCs w:val="32"/>
        </w:rPr>
        <w:t>支出决算为46.11万元，完成预算100%。</w:t>
      </w:r>
    </w:p>
    <w:p w:rsidR="00627596" w:rsidRDefault="00402537" w:rsidP="00B54D53">
      <w:pPr>
        <w:spacing w:line="600" w:lineRule="exact"/>
        <w:ind w:firstLineChars="200" w:firstLine="643"/>
        <w:rPr>
          <w:rFonts w:ascii="仿宋" w:eastAsia="仿宋" w:hAnsi="仿宋"/>
          <w:b/>
          <w:color w:val="000000"/>
          <w:sz w:val="32"/>
          <w:szCs w:val="32"/>
        </w:rPr>
      </w:pPr>
      <w:r>
        <w:rPr>
          <w:rStyle w:val="a8"/>
          <w:rFonts w:ascii="仿宋_GB2312" w:eastAsia="仿宋_GB2312" w:hAnsi="仿宋" w:hint="eastAsia"/>
          <w:bCs/>
          <w:color w:val="000000"/>
          <w:sz w:val="32"/>
          <w:szCs w:val="32"/>
        </w:rPr>
        <w:t>10.</w:t>
      </w:r>
      <w:r>
        <w:rPr>
          <w:rFonts w:ascii="仿宋_GB2312" w:eastAsia="仿宋_GB2312" w:hAnsi="仿宋" w:hint="eastAsia"/>
          <w:b/>
          <w:bCs/>
          <w:color w:val="000000" w:themeColor="text1"/>
          <w:sz w:val="32"/>
          <w:szCs w:val="32"/>
        </w:rPr>
        <w:t>住房保障支出</w:t>
      </w:r>
      <w:r>
        <w:rPr>
          <w:rStyle w:val="a8"/>
          <w:rFonts w:ascii="仿宋_GB2312" w:eastAsia="仿宋_GB2312" w:hAnsi="仿宋" w:hint="eastAsia"/>
          <w:bCs/>
          <w:color w:val="000000"/>
          <w:sz w:val="32"/>
          <w:szCs w:val="32"/>
        </w:rPr>
        <w:t>（类）住房改革支出（款）  住房公积金（项）:</w:t>
      </w:r>
      <w:r>
        <w:rPr>
          <w:rStyle w:val="a8"/>
          <w:rFonts w:ascii="仿宋_GB2312" w:eastAsia="仿宋_GB2312" w:hAnsi="仿宋" w:hint="eastAsia"/>
          <w:b w:val="0"/>
          <w:bCs/>
          <w:color w:val="000000"/>
          <w:sz w:val="32"/>
          <w:szCs w:val="32"/>
        </w:rPr>
        <w:t>支出决算为150.55万元，完成预算100%。</w:t>
      </w:r>
    </w:p>
    <w:p w:rsidR="00627596" w:rsidRDefault="00402537">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627596" w:rsidRDefault="00402537">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2019年一般公共预算财政拨款基本支出2430.75万元，其中：</w:t>
      </w:r>
    </w:p>
    <w:p w:rsidR="00627596" w:rsidRDefault="00402537">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人员经费1967.43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Ansi="仿宋" w:hint="eastAsia"/>
          <w:color w:val="000000"/>
          <w:sz w:val="32"/>
          <w:szCs w:val="32"/>
        </w:rPr>
        <w:br/>
        <w:t xml:space="preserve">　　日常公用经费463.32万元，主要包括：办公费、印刷</w:t>
      </w:r>
      <w:r>
        <w:rPr>
          <w:rFonts w:ascii="仿宋_GB2312" w:eastAsia="仿宋_GB2312" w:hAnsi="仿宋" w:hint="eastAsia"/>
          <w:color w:val="000000"/>
          <w:sz w:val="32"/>
          <w:szCs w:val="32"/>
        </w:rPr>
        <w:lastRenderedPageBreak/>
        <w:t>费、咨询费、手续费、水费、电费、邮电费、取暖费、物业管理费、差旅费、因公出国（境）费用、维修（护）费、租赁费、会议费、培训费、公务接待费、劳务费、委托业务费、工会经费、福利费、公务用车运行维护费、其他交通费、其他商品和服务支出、办公设备购置、专用设备购置、信息网络及软件购置更新、其他资本性支出等。</w:t>
      </w:r>
    </w:p>
    <w:p w:rsidR="00627596" w:rsidRDefault="00402537">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627596" w:rsidRDefault="00402537">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627596" w:rsidRDefault="00402537">
      <w:pPr>
        <w:spacing w:line="580" w:lineRule="exact"/>
        <w:ind w:firstLine="640"/>
        <w:rPr>
          <w:rFonts w:ascii="仿宋_GB2312" w:eastAsia="仿宋_GB2312"/>
          <w:color w:val="000000"/>
          <w:sz w:val="32"/>
          <w:szCs w:val="32"/>
        </w:rPr>
      </w:pPr>
      <w:r>
        <w:rPr>
          <w:rFonts w:ascii="仿宋_GB2312" w:eastAsia="仿宋_GB2312" w:hAnsi="仿宋" w:hint="eastAsia"/>
          <w:color w:val="000000"/>
          <w:sz w:val="32"/>
          <w:szCs w:val="32"/>
        </w:rPr>
        <w:t>2019年“三公”经费财政拨款支出决算为54.72万元，完成预算80.47%，决算数小于预算数的主要原因是</w:t>
      </w:r>
      <w:r>
        <w:rPr>
          <w:rFonts w:ascii="仿宋_GB2312" w:eastAsia="仿宋_GB2312" w:hint="eastAsia"/>
          <w:color w:val="000000"/>
          <w:sz w:val="32"/>
          <w:szCs w:val="32"/>
        </w:rPr>
        <w:t>部门节能降耗，励行节约，严格控制“三公”经费的开支。</w:t>
      </w:r>
    </w:p>
    <w:p w:rsidR="00627596" w:rsidRDefault="00402537">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627596" w:rsidRDefault="00402537">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2019年“三公”经费财政拨款支出决算中，因公出国（境）费支出决算0万元，占0%；公务用车购置及运行维护费支出决算51.61万元，占94.32%；公务接待费支出决算3.11万元，占5.68%。具体情况如下：</w:t>
      </w:r>
    </w:p>
    <w:p w:rsidR="00627596" w:rsidRDefault="0040253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627596" w:rsidRDefault="00402537">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3600" behindDoc="0" locked="0" layoutInCell="1" allowOverlap="1">
            <wp:simplePos x="0" y="0"/>
            <wp:positionH relativeFrom="column">
              <wp:posOffset>-114300</wp:posOffset>
            </wp:positionH>
            <wp:positionV relativeFrom="paragraph">
              <wp:posOffset>133350</wp:posOffset>
            </wp:positionV>
            <wp:extent cx="5493385" cy="3190875"/>
            <wp:effectExtent l="19050" t="0" r="12065" b="0"/>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27596" w:rsidRDefault="00627596">
      <w:pPr>
        <w:spacing w:line="600" w:lineRule="exact"/>
        <w:ind w:firstLine="640"/>
        <w:rPr>
          <w:rFonts w:ascii="仿宋" w:eastAsia="仿宋" w:hAnsi="仿宋"/>
          <w:color w:val="000000"/>
          <w:sz w:val="32"/>
          <w:szCs w:val="32"/>
        </w:rPr>
      </w:pPr>
    </w:p>
    <w:p w:rsidR="00627596" w:rsidRDefault="00627596">
      <w:pPr>
        <w:spacing w:line="600" w:lineRule="exact"/>
        <w:ind w:firstLine="640"/>
        <w:rPr>
          <w:rFonts w:ascii="仿宋" w:eastAsia="仿宋" w:hAnsi="仿宋"/>
          <w:color w:val="000000"/>
          <w:sz w:val="32"/>
          <w:szCs w:val="32"/>
        </w:rPr>
      </w:pPr>
    </w:p>
    <w:p w:rsidR="00627596" w:rsidRDefault="00627596">
      <w:pPr>
        <w:spacing w:line="600" w:lineRule="exact"/>
        <w:ind w:firstLine="640"/>
        <w:rPr>
          <w:rFonts w:ascii="仿宋" w:eastAsia="仿宋" w:hAnsi="仿宋"/>
          <w:color w:val="000000"/>
          <w:sz w:val="32"/>
          <w:szCs w:val="32"/>
        </w:rPr>
      </w:pPr>
    </w:p>
    <w:p w:rsidR="00627596" w:rsidRDefault="00627596">
      <w:pPr>
        <w:spacing w:line="600" w:lineRule="exact"/>
        <w:ind w:firstLine="640"/>
        <w:rPr>
          <w:rFonts w:ascii="仿宋" w:eastAsia="仿宋" w:hAnsi="仿宋"/>
          <w:color w:val="000000"/>
          <w:sz w:val="32"/>
          <w:szCs w:val="32"/>
        </w:rPr>
      </w:pPr>
    </w:p>
    <w:p w:rsidR="00627596" w:rsidRDefault="00627596" w:rsidP="00B54D53">
      <w:pPr>
        <w:spacing w:line="600" w:lineRule="exact"/>
        <w:rPr>
          <w:rFonts w:ascii="仿宋_GB2312" w:eastAsia="仿宋_GB2312"/>
          <w:b/>
          <w:color w:val="000000"/>
          <w:sz w:val="32"/>
          <w:szCs w:val="32"/>
        </w:rPr>
      </w:pPr>
    </w:p>
    <w:p w:rsidR="00627596" w:rsidRDefault="0040253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8"/>
          <w:rFonts w:ascii="仿宋" w:eastAsia="仿宋" w:hAnsi="仿宋" w:hint="eastAsia"/>
          <w:b w:val="0"/>
          <w:bCs/>
          <w:color w:val="000000"/>
          <w:sz w:val="32"/>
          <w:szCs w:val="32"/>
        </w:rPr>
        <w:t>完成预算0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w:t>
      </w:r>
    </w:p>
    <w:p w:rsidR="00627596" w:rsidRDefault="00402537">
      <w:pPr>
        <w:snapToGrid w:val="0"/>
        <w:spacing w:line="520" w:lineRule="exact"/>
        <w:ind w:firstLineChars="200" w:firstLine="643"/>
        <w:rPr>
          <w:rFonts w:ascii="仿宋_GB2312" w:eastAsia="仿宋_GB2312" w:hAnsi="仿宋" w:cs="仿宋"/>
          <w:bCs/>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51.61万元,</w:t>
      </w:r>
      <w:r w:rsidRPr="00FA7EDC">
        <w:rPr>
          <w:rFonts w:ascii="仿宋_GB2312" w:eastAsia="仿宋_GB2312" w:hint="eastAsia"/>
          <w:color w:val="000000"/>
          <w:sz w:val="32"/>
          <w:szCs w:val="32"/>
        </w:rPr>
        <w:t>完成预算87.47</w:t>
      </w:r>
      <w:r w:rsidRPr="00FA7EDC">
        <w:rPr>
          <w:rFonts w:ascii="仿宋_GB2312" w:eastAsia="仿宋_GB2312"/>
          <w:color w:val="000000"/>
          <w:sz w:val="32"/>
          <w:szCs w:val="32"/>
        </w:rPr>
        <w:t>%</w:t>
      </w:r>
      <w:r w:rsidRPr="00FA7EDC">
        <w:rPr>
          <w:rFonts w:ascii="仿宋_GB2312" w:eastAsia="仿宋_GB2312" w:hint="eastAsia"/>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8年减少21.58万元，下降29.48</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Ansi="仿宋" w:hint="eastAsia"/>
          <w:sz w:val="32"/>
          <w:szCs w:val="32"/>
        </w:rPr>
        <w:t>原因是2018年购置1辆特种专业技术用车（巡回审判车），2019年购置1辆一般执法执勤用车，因车辆属性不同，故价值差距较大。</w:t>
      </w:r>
    </w:p>
    <w:p w:rsidR="00627596" w:rsidRDefault="00402537">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其中：公务用车购置支出20.58万元。全年按规定更新购置公务用车1辆，金额20.58万</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月底，单位实有公务用车15辆，其中：一般公务用车1辆、执法执勤用车11辆，特种专业技术用车3辆。</w:t>
      </w:r>
    </w:p>
    <w:p w:rsidR="00627596" w:rsidRDefault="00402537">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公务用车运行维护费支出31.03万元。主要用于办案等所需的公务用车燃料费、维修费、过路过桥费、保险费等支出。</w:t>
      </w:r>
    </w:p>
    <w:p w:rsidR="00627596" w:rsidRDefault="00402537">
      <w:pPr>
        <w:spacing w:line="58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3.11万元，</w:t>
      </w:r>
      <w:r>
        <w:rPr>
          <w:rStyle w:val="a8"/>
          <w:rFonts w:ascii="仿宋_GB2312" w:eastAsia="仿宋_GB2312" w:hAnsi="仿宋" w:hint="eastAsia"/>
          <w:b w:val="0"/>
          <w:bCs/>
          <w:color w:val="000000"/>
          <w:sz w:val="32"/>
          <w:szCs w:val="32"/>
        </w:rPr>
        <w:t>完成预算34.56%。</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8年减少2.19万元，下降41.32</w:t>
      </w:r>
      <w:r>
        <w:rPr>
          <w:rFonts w:ascii="仿宋_GB2312" w:eastAsia="仿宋_GB2312"/>
          <w:color w:val="000000"/>
          <w:sz w:val="32"/>
          <w:szCs w:val="32"/>
        </w:rPr>
        <w:t>%</w:t>
      </w:r>
      <w:r>
        <w:rPr>
          <w:rFonts w:ascii="仿宋_GB2312" w:eastAsia="仿宋_GB2312" w:hint="eastAsia"/>
          <w:color w:val="000000"/>
          <w:sz w:val="32"/>
          <w:szCs w:val="32"/>
        </w:rPr>
        <w:t>。主要原因是部门节能降耗，厉行节约，严格控制“三公”经费的开支</w:t>
      </w:r>
      <w:r>
        <w:rPr>
          <w:rFonts w:ascii="仿宋" w:eastAsia="仿宋" w:hAnsi="仿宋" w:hint="eastAsia"/>
          <w:color w:val="000000"/>
          <w:sz w:val="32"/>
          <w:szCs w:val="32"/>
        </w:rPr>
        <w:t>。</w:t>
      </w:r>
    </w:p>
    <w:p w:rsidR="00627596" w:rsidRDefault="00402537">
      <w:pPr>
        <w:spacing w:line="600" w:lineRule="exact"/>
        <w:ind w:firstLine="640"/>
        <w:rPr>
          <w:rFonts w:ascii="仿宋_GB2312" w:eastAsia="仿宋_GB2312"/>
          <w:color w:val="000000"/>
          <w:sz w:val="32"/>
          <w:szCs w:val="32"/>
        </w:rPr>
      </w:pPr>
      <w:r>
        <w:rPr>
          <w:rFonts w:ascii="仿宋_GB2312" w:eastAsia="仿宋_GB2312" w:hAnsi="仿宋" w:hint="eastAsia"/>
          <w:b/>
          <w:color w:val="000000"/>
          <w:sz w:val="32"/>
          <w:szCs w:val="32"/>
        </w:rPr>
        <w:t>国内公务接待支出</w:t>
      </w:r>
      <w:r>
        <w:rPr>
          <w:rFonts w:ascii="仿宋_GB2312" w:eastAsia="仿宋_GB2312" w:hAnsi="仿宋" w:hint="eastAsia"/>
          <w:color w:val="000000"/>
          <w:sz w:val="32"/>
          <w:szCs w:val="32"/>
        </w:rPr>
        <w:t>3.11</w:t>
      </w:r>
      <w:r>
        <w:rPr>
          <w:rFonts w:ascii="仿宋_GB2312" w:eastAsia="仿宋_GB2312" w:hint="eastAsia"/>
          <w:color w:val="000000"/>
          <w:sz w:val="32"/>
          <w:szCs w:val="32"/>
        </w:rPr>
        <w:t>万元，主要用于执行公务、开展业务活动开支的用餐费。国内公务接待49批次，586人次（不包括陪同人员），共计支出3.11万元，具体内容包括：接待省内外各级部门考察调研及工作交流等费用</w:t>
      </w:r>
    </w:p>
    <w:p w:rsidR="00627596" w:rsidRDefault="00402537">
      <w:pPr>
        <w:spacing w:line="600" w:lineRule="exact"/>
        <w:ind w:firstLineChars="200" w:firstLine="640"/>
        <w:rPr>
          <w:rFonts w:ascii="仿宋_GB2312" w:eastAsia="仿宋_GB2312"/>
          <w:color w:val="000000" w:themeColor="text1"/>
          <w:sz w:val="32"/>
          <w:szCs w:val="32"/>
        </w:rPr>
      </w:pPr>
      <w:r>
        <w:rPr>
          <w:rFonts w:ascii="仿宋" w:eastAsia="仿宋" w:hAnsi="仿宋" w:hint="eastAsia"/>
          <w:b/>
          <w:color w:val="000000"/>
          <w:sz w:val="32"/>
          <w:szCs w:val="32"/>
        </w:rPr>
        <w:lastRenderedPageBreak/>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p>
    <w:p w:rsidR="00627596" w:rsidRDefault="00627596">
      <w:pPr>
        <w:spacing w:line="600" w:lineRule="exact"/>
        <w:ind w:firstLine="640"/>
        <w:outlineLvl w:val="1"/>
        <w:rPr>
          <w:rFonts w:ascii="黑体" w:eastAsia="黑体"/>
          <w:color w:val="000000"/>
          <w:sz w:val="32"/>
          <w:szCs w:val="32"/>
        </w:rPr>
      </w:pPr>
      <w:bookmarkStart w:id="46" w:name="_Toc15396610"/>
      <w:bookmarkStart w:id="47" w:name="_Toc15377218"/>
    </w:p>
    <w:p w:rsidR="00627596" w:rsidRDefault="00402537">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627596" w:rsidRDefault="0040253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9年政府性基金预算拨款支出64.41万元。</w:t>
      </w:r>
    </w:p>
    <w:p w:rsidR="00627596" w:rsidRDefault="00627596">
      <w:pPr>
        <w:spacing w:line="600" w:lineRule="exact"/>
        <w:ind w:firstLine="640"/>
        <w:rPr>
          <w:rFonts w:ascii="仿宋_GB2312" w:eastAsia="仿宋_GB2312"/>
          <w:color w:val="000000"/>
          <w:sz w:val="32"/>
          <w:szCs w:val="32"/>
        </w:rPr>
      </w:pPr>
    </w:p>
    <w:p w:rsidR="00627596" w:rsidRDefault="00402537">
      <w:pPr>
        <w:numPr>
          <w:ilvl w:val="0"/>
          <w:numId w:val="2"/>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627596" w:rsidRDefault="0040253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627596" w:rsidRDefault="00627596">
      <w:pPr>
        <w:spacing w:line="580" w:lineRule="exact"/>
        <w:jc w:val="center"/>
        <w:rPr>
          <w:rFonts w:ascii="方正小标宋简体" w:eastAsia="方正小标宋简体" w:hAnsi="方正小标宋简体" w:cs="方正小标宋简体"/>
          <w:sz w:val="44"/>
          <w:szCs w:val="44"/>
        </w:rPr>
      </w:pPr>
    </w:p>
    <w:p w:rsidR="00627596" w:rsidRDefault="00402537">
      <w:pPr>
        <w:spacing w:line="600" w:lineRule="exact"/>
        <w:ind w:firstLineChars="250" w:firstLine="800"/>
        <w:outlineLvl w:val="1"/>
        <w:rPr>
          <w:rStyle w:val="2Char"/>
          <w:rFonts w:ascii="黑体" w:eastAsia="黑体" w:hAnsi="黑体"/>
        </w:rPr>
      </w:pPr>
      <w:bookmarkStart w:id="50" w:name="_Toc15377221"/>
      <w:bookmarkStart w:id="51"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627596" w:rsidRDefault="00402537">
      <w:pPr>
        <w:spacing w:line="600" w:lineRule="exact"/>
        <w:ind w:firstLineChars="200" w:firstLine="640"/>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627596" w:rsidRDefault="0040253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9年，峨眉山市人民法院机关运行经费支出463.32万元，比</w:t>
      </w:r>
      <w:r>
        <w:rPr>
          <w:rFonts w:ascii="仿宋_GB2312" w:eastAsia="仿宋_GB2312"/>
          <w:color w:val="000000"/>
          <w:sz w:val="32"/>
          <w:szCs w:val="32"/>
        </w:rPr>
        <w:t>201</w:t>
      </w:r>
      <w:r>
        <w:rPr>
          <w:rFonts w:ascii="仿宋_GB2312" w:eastAsia="仿宋_GB2312" w:hint="eastAsia"/>
          <w:color w:val="000000"/>
          <w:sz w:val="32"/>
          <w:szCs w:val="32"/>
        </w:rPr>
        <w:t>8年增加100.96万元，增长27.86</w:t>
      </w:r>
      <w:r>
        <w:rPr>
          <w:rFonts w:ascii="仿宋_GB2312" w:eastAsia="仿宋_GB2312"/>
          <w:color w:val="000000"/>
          <w:sz w:val="32"/>
          <w:szCs w:val="32"/>
        </w:rPr>
        <w:t>%</w:t>
      </w:r>
      <w:r>
        <w:rPr>
          <w:rFonts w:ascii="仿宋_GB2312" w:eastAsia="仿宋_GB2312" w:hint="eastAsia"/>
          <w:color w:val="000000" w:themeColor="text1"/>
          <w:sz w:val="32"/>
          <w:szCs w:val="32"/>
        </w:rPr>
        <w:t>主要原因是审判业务增加、智慧法院建设等因素，办案业务和人员保障经费等相应增加。</w:t>
      </w:r>
    </w:p>
    <w:p w:rsidR="00627596" w:rsidRDefault="00402537">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627596" w:rsidRDefault="0040253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峨眉山市人民法院政府采购支出总额176.77万元，其中：政府采购货物支出77.21万元、政府采购工程支出69.30万元、政府采购服务支出30.27万元。主要用于诉讼服务中心建设、购置警车、执行指挥中心建设、庭审直播、办公设备购置等。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，其中：授予小微企业合同金额0万元，占政府采购支出总额的0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 xml:space="preserve">。 </w:t>
      </w:r>
    </w:p>
    <w:p w:rsidR="00627596" w:rsidRDefault="00402537">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lastRenderedPageBreak/>
        <w:t>（三）国有资产占有使用情况</w:t>
      </w:r>
      <w:bookmarkEnd w:id="54"/>
    </w:p>
    <w:p w:rsidR="00627596" w:rsidRDefault="00402537">
      <w:pPr>
        <w:spacing w:line="600" w:lineRule="exact"/>
        <w:ind w:firstLine="640"/>
        <w:rPr>
          <w:rFonts w:ascii="仿宋_GB2312" w:eastAsia="仿宋_GB2312"/>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日，峨眉山市人民法院实有车辆15辆，其中：一般公务用车1辆、执法执勤用车11辆，特种专业技术用车3辆。单价</w:t>
      </w:r>
      <w:r>
        <w:rPr>
          <w:rFonts w:ascii="仿宋_GB2312" w:eastAsia="仿宋_GB2312"/>
          <w:color w:val="000000"/>
          <w:sz w:val="32"/>
          <w:szCs w:val="32"/>
        </w:rPr>
        <w:t>50</w:t>
      </w:r>
      <w:r>
        <w:rPr>
          <w:rFonts w:ascii="仿宋_GB2312" w:eastAsia="仿宋_GB2312" w:hint="eastAsia"/>
          <w:color w:val="000000"/>
          <w:sz w:val="32"/>
          <w:szCs w:val="32"/>
        </w:rPr>
        <w:t>万</w:t>
      </w:r>
      <w:r>
        <w:rPr>
          <w:rFonts w:ascii="仿宋_GB2312" w:eastAsia="仿宋_GB2312" w:hint="eastAsia"/>
          <w:color w:val="000000" w:themeColor="text1"/>
          <w:sz w:val="32"/>
          <w:szCs w:val="32"/>
        </w:rPr>
        <w:t>元以上通用设备0台（套），</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万元以上专用设备0台（套）。</w:t>
      </w:r>
    </w:p>
    <w:p w:rsidR="00627596" w:rsidRDefault="00402537">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创卫创文工作经费，档案数字化工作经费，峨眉论法论坛会议费，服装购置费，纪委监察派驻机构工作经费，派出法庭安保及管理运行经费，陪审员、家事调查员、调解员、律师协助调解、心理辅导员，审判法庭（办公大楼）综合管理运行经费，诉讼服务中心建设、送达外包服务，信息化工作经费，执行工作经费项目开展了预算事前绩效评估，对11个项目编制了绩效目标，预算执行过程中，选取2个项目开展绩效监控，年终执行完毕后，对1个项目开展了绩效目标完成情况自评。</w:t>
      </w:r>
    </w:p>
    <w:p w:rsidR="00627596" w:rsidRDefault="0040253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我院预算支出具有明确的目标，资金到位及时，并制定了科学的实施计划，严格按照有关项目管理和经费管理规定执行。各项预算支出顺利进行，并按计划圆满完成，有效保障了我院审判执行工作。本部门自行组织1个项目支出绩效评价，该项目为诉讼服务中心建设、送达外包服务。从评价情况来看，诉讼服务中心提档升级工作的完成，提升了司法公信力，实现了司法为民、便民的宗旨，形成了</w:t>
      </w:r>
      <w:r>
        <w:rPr>
          <w:rFonts w:ascii="仿宋_GB2312" w:eastAsia="仿宋_GB2312" w:hAnsi="仿宋_GB2312" w:cs="仿宋_GB2312" w:hint="eastAsia"/>
          <w:sz w:val="32"/>
          <w:szCs w:val="32"/>
        </w:rPr>
        <w:lastRenderedPageBreak/>
        <w:t>面向法官、诉讼参与人、社会公众等“一站式”综合服务体系。通过“一站式”的诉讼服务中心综合服务体系，为各诉讼参与人提供了良好的业务办理环境，能更加自主、方便、快捷的办理诉讼相关事务，受到一致好评。</w:t>
      </w:r>
    </w:p>
    <w:p w:rsidR="00627596" w:rsidRDefault="00402537">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本部门在2019年度部门决算中反映创卫创文工作经费，档案数字化工作经费，审判法庭（办公大楼）综合管理运行经费，信息化工作经费，执行工作经费5个项目绩效目标实际完成情况。</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（1）创卫创文工作经费项目绩效目标完成情况综述。项目全年预算数5万元，执行数为5万元，完成预算的100%。通过项目实施，积极投入党委、政府中心工作，有力的保障了我院创卫创文片区工作的正常开展。</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档案数字化工作经费项目绩效目标完成情况综述。项目全年预算数20万元，执行数为20万元，完成预算的100%。通过项目实施，实时完成我院已结案尚未归档案件的归档扫描工作，实现档案电子数据四级法院互联互通和共享，为当事人远程借阅档案提供有力保障，有效缓解案多人少的矛盾。</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审判法庭（办公大楼）综合管理运行经费项目绩效目标完成情况综述。项目全年预算数80万元，执行数为80万元，完成预算的100%。通过项目实施，为全院审判业务工作有序推进提供了有力支持，保障了各项综合行政工作的正常开展。</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（4）信息化工作经费项目绩效目标完成情况综述。项</w:t>
      </w:r>
      <w:r>
        <w:rPr>
          <w:rFonts w:ascii="仿宋_GB2312" w:eastAsia="仿宋_GB2312" w:hAnsi="仿宋_GB2312" w:cs="仿宋_GB2312" w:hint="eastAsia"/>
          <w:sz w:val="32"/>
          <w:szCs w:val="32"/>
        </w:rPr>
        <w:lastRenderedPageBreak/>
        <w:t>目全年预算数40万元，执行数为40万元，完成预算的100%。通过项目实施，保障我院智慧法院建设、庭审办案网络信息系统建设及运行和其他信息化建设及运行，为强化司法公开、提高司法质效、提升司法公信力等智慧法院建设各项工作提供了有力保障。</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执行工作经费项目绩效目标完成情况综述。项目全年预算数16万元，执行数为16万元，完成预算的100%。通过项目实施，实现最高人民法院要求的在2-3年内基本解决执行难的工作目标，保障我院智慧执行建设工作有序推进。</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62759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27596" w:rsidRDefault="00627596">
            <w:pPr>
              <w:widowControl/>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627596">
            <w:pPr>
              <w:widowControl/>
              <w:ind w:leftChars="1281" w:left="3575" w:hangingChars="245" w:hanging="885"/>
              <w:textAlignment w:val="center"/>
              <w:rPr>
                <w:rFonts w:ascii="宋体" w:hAnsi="宋体" w:cs="宋体"/>
                <w:b/>
                <w:bCs/>
                <w:color w:val="000000"/>
                <w:kern w:val="0"/>
                <w:sz w:val="36"/>
                <w:szCs w:val="36"/>
              </w:rPr>
            </w:pPr>
          </w:p>
          <w:p w:rsidR="00627596" w:rsidRDefault="00402537">
            <w:pPr>
              <w:widowControl/>
              <w:ind w:leftChars="1368" w:left="3758" w:hangingChars="245" w:hanging="885"/>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创卫创文工作经费</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峨眉山市人民法院</w:t>
            </w: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5</w:t>
            </w:r>
          </w:p>
        </w:tc>
      </w:tr>
      <w:tr w:rsidR="0062759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r>
      <w:tr w:rsidR="0062759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2759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保障全院创卫创文工作的正常开展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圆满完成当年度双创工作</w:t>
            </w:r>
          </w:p>
        </w:tc>
      </w:tr>
      <w:tr w:rsidR="0062759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2759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创卫创文成果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顺利通过当年双创检查</w:t>
            </w:r>
          </w:p>
        </w:tc>
      </w:tr>
      <w:tr w:rsidR="0062759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按期完成</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1042"/>
          <w:jc w:val="center"/>
        </w:trPr>
        <w:tc>
          <w:tcPr>
            <w:tcW w:w="390" w:type="dxa"/>
            <w:vMerge/>
            <w:tcBorders>
              <w:left w:val="single" w:sz="4" w:space="0" w:color="000000"/>
              <w:right w:val="single" w:sz="4" w:space="0" w:color="auto"/>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生态效益指标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创卫创文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创建文明卫生城市</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实现双创管辖区域文明、卫生</w:t>
            </w:r>
          </w:p>
        </w:tc>
      </w:tr>
      <w:tr w:rsidR="00627596">
        <w:trPr>
          <w:trHeight w:val="1042"/>
          <w:jc w:val="center"/>
        </w:trPr>
        <w:tc>
          <w:tcPr>
            <w:tcW w:w="390" w:type="dxa"/>
            <w:vMerge/>
            <w:tcBorders>
              <w:left w:val="single" w:sz="4" w:space="0" w:color="000000"/>
              <w:right w:val="single" w:sz="4" w:space="0" w:color="auto"/>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社会满意度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90%</w:t>
            </w:r>
          </w:p>
        </w:tc>
      </w:tr>
    </w:tbl>
    <w:p w:rsidR="00627596" w:rsidRDefault="00627596">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62759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仿宋_GB2312" w:eastAsia="仿宋_GB2312" w:hAnsi="仿宋_GB2312" w:cs="仿宋_GB2312" w:hint="eastAsia"/>
                <w:sz w:val="32"/>
                <w:szCs w:val="32"/>
              </w:rPr>
              <w:t>档案数字化工作经费</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峨眉山市人民法院</w:t>
            </w: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20</w:t>
            </w:r>
          </w:p>
        </w:tc>
      </w:tr>
      <w:tr w:rsidR="0062759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r>
      <w:tr w:rsidR="0062759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2759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实现档案数字化外包，有效缓解案多人少的矛盾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spacing w:line="440" w:lineRule="exact"/>
              <w:ind w:firstLineChars="200" w:firstLine="300"/>
              <w:jc w:val="left"/>
              <w:rPr>
                <w:rFonts w:ascii="宋体" w:hAnsi="宋体" w:cs="宋体"/>
                <w:color w:val="000000"/>
                <w:sz w:val="15"/>
                <w:szCs w:val="15"/>
              </w:rPr>
            </w:pPr>
            <w:r>
              <w:rPr>
                <w:rFonts w:ascii="宋体" w:hAnsi="宋体" w:cs="宋体" w:hint="eastAsia"/>
                <w:color w:val="000000"/>
                <w:sz w:val="15"/>
                <w:szCs w:val="15"/>
              </w:rPr>
              <w:t>实时完成我院已结案尚未归档案件的归档扫描工作，实现档案电子数据四级法院互联互通和共享，为当事人远程借阅档案提供有力保障。有效缓解了案多人少的矛盾。</w:t>
            </w:r>
          </w:p>
        </w:tc>
      </w:tr>
      <w:tr w:rsidR="0062759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2759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档案数字化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诉讼、行政文书、财务档案扫描挂接归档，实现通过系统调取材料</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15"/>
                <w:szCs w:val="15"/>
              </w:rPr>
            </w:pPr>
            <w:r>
              <w:rPr>
                <w:rFonts w:ascii="仿宋_GB2312" w:hint="eastAsia"/>
                <w:sz w:val="15"/>
                <w:szCs w:val="15"/>
              </w:rPr>
              <w:t>实现最高人民法院和省、市两级法院、本院法官根据授权范围，通过系统查阅、调取、复制案件卷宗材料和</w:t>
            </w:r>
            <w:r>
              <w:rPr>
                <w:rFonts w:ascii="仿宋_GB2312" w:hint="eastAsia"/>
                <w:sz w:val="15"/>
                <w:szCs w:val="15"/>
              </w:rPr>
              <w:lastRenderedPageBreak/>
              <w:t>证据材料。</w:t>
            </w:r>
          </w:p>
        </w:tc>
      </w:tr>
      <w:tr w:rsidR="00627596">
        <w:trPr>
          <w:trHeight w:val="96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质量指标</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档案数字化完成率</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100%</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1042"/>
          <w:jc w:val="center"/>
        </w:trPr>
        <w:tc>
          <w:tcPr>
            <w:tcW w:w="390" w:type="dxa"/>
            <w:vMerge/>
            <w:tcBorders>
              <w:left w:val="single" w:sz="4" w:space="0" w:color="000000"/>
              <w:right w:val="single" w:sz="4" w:space="0" w:color="auto"/>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时效指标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按期完成</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100%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1042"/>
          <w:jc w:val="center"/>
        </w:trPr>
        <w:tc>
          <w:tcPr>
            <w:tcW w:w="390" w:type="dxa"/>
            <w:vMerge/>
            <w:tcBorders>
              <w:left w:val="single" w:sz="4" w:space="0" w:color="000000"/>
              <w:right w:val="single" w:sz="4" w:space="0" w:color="auto"/>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社会效益指标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档案数字化</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提高司法质效，方便当事人查询</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hint="eastAsia"/>
                <w:sz w:val="20"/>
                <w:szCs w:val="20"/>
              </w:rPr>
              <w:t>提高了司法质效，方便当事人查询</w:t>
            </w:r>
          </w:p>
        </w:tc>
      </w:tr>
      <w:tr w:rsidR="0062759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仿宋_GB2312" w:eastAsia="仿宋_GB2312" w:hAnsi="仿宋_GB2312" w:cs="仿宋_GB2312" w:hint="eastAsia"/>
                <w:sz w:val="32"/>
                <w:szCs w:val="32"/>
              </w:rPr>
              <w:t>审判法庭（办公大楼）综合管理运行经费</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峨眉山市人民法院</w:t>
            </w: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62759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r>
      <w:tr w:rsidR="0062759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2759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保障全院各项工作的正常开展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spacing w:line="580" w:lineRule="exact"/>
              <w:ind w:firstLineChars="200" w:firstLine="480"/>
              <w:rPr>
                <w:rFonts w:ascii="宋体" w:hAnsi="宋体" w:cs="宋体"/>
                <w:color w:val="000000"/>
                <w:sz w:val="24"/>
              </w:rPr>
            </w:pPr>
            <w:r>
              <w:rPr>
                <w:rFonts w:ascii="宋体" w:hAnsi="宋体" w:cs="宋体" w:hint="eastAsia"/>
                <w:color w:val="000000"/>
                <w:sz w:val="24"/>
              </w:rPr>
              <w:t>保障了各项综合行政工作的正常开展。</w:t>
            </w:r>
          </w:p>
          <w:p w:rsidR="00627596" w:rsidRDefault="00627596">
            <w:pPr>
              <w:widowControl/>
              <w:textAlignment w:val="center"/>
              <w:rPr>
                <w:rFonts w:ascii="宋体" w:hAnsi="宋体" w:cs="宋体"/>
                <w:color w:val="000000"/>
                <w:sz w:val="24"/>
              </w:rPr>
            </w:pPr>
          </w:p>
        </w:tc>
      </w:tr>
      <w:tr w:rsidR="0062759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2759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审判法庭（办公大楼）正常运行率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按期完成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100%按期完成</w:t>
            </w:r>
          </w:p>
        </w:tc>
      </w:tr>
      <w:tr w:rsidR="00627596">
        <w:trPr>
          <w:trHeight w:val="1297"/>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审判法庭（办公大楼）综合管理运行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全力维护安全稳定发展，提高司法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司法质效提升</w:t>
            </w:r>
          </w:p>
        </w:tc>
      </w:tr>
      <w:tr w:rsidR="00627596">
        <w:trPr>
          <w:trHeight w:val="1297"/>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社会满意度</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color w:val="000000"/>
                <w:kern w:val="0"/>
                <w:sz w:val="24"/>
              </w:rPr>
              <w:t>100%</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90%</w:t>
            </w:r>
          </w:p>
        </w:tc>
      </w:tr>
    </w:tbl>
    <w:p w:rsidR="00627596" w:rsidRDefault="00627596">
      <w:pPr>
        <w:spacing w:line="580" w:lineRule="exact"/>
        <w:rPr>
          <w:rFonts w:ascii="楷体_GB2312" w:eastAsia="楷体_GB2312" w:hAnsi="楷体_GB2312" w:cs="楷体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478"/>
        <w:gridCol w:w="2308"/>
        <w:gridCol w:w="2392"/>
      </w:tblGrid>
      <w:tr w:rsidR="0062759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仿宋_GB2312" w:eastAsia="仿宋_GB2312" w:hAnsi="仿宋_GB2312" w:cs="仿宋_GB2312" w:hint="eastAsia"/>
                <w:sz w:val="32"/>
                <w:szCs w:val="32"/>
              </w:rPr>
              <w:t>信息化工作经费</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峨眉山市人民法院</w:t>
            </w: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40</w:t>
            </w:r>
          </w:p>
        </w:tc>
      </w:tr>
      <w:tr w:rsidR="0062759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r>
      <w:tr w:rsidR="0062759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62759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保障我院信息化建设及运行</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通过项目实施，保障我院智慧法院建设、庭审办案网络信息系统建设及运行和其他信息化建设及运行，为强化司法公开、提高司法质效、提升司法公信力等智慧法院建设各项工作提供了有力保障。</w:t>
            </w:r>
          </w:p>
          <w:p w:rsidR="00627596" w:rsidRDefault="00627596">
            <w:pPr>
              <w:widowControl/>
              <w:jc w:val="center"/>
              <w:textAlignment w:val="center"/>
              <w:rPr>
                <w:rFonts w:ascii="宋体" w:hAnsi="宋体" w:cs="宋体"/>
                <w:color w:val="000000"/>
                <w:kern w:val="0"/>
                <w:sz w:val="24"/>
              </w:rPr>
            </w:pPr>
          </w:p>
        </w:tc>
      </w:tr>
      <w:tr w:rsidR="00627596">
        <w:trPr>
          <w:trHeight w:val="730"/>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绩效</w:t>
            </w:r>
            <w:r>
              <w:rPr>
                <w:rFonts w:ascii="宋体" w:hAnsi="宋体" w:cs="宋体" w:hint="eastAsia"/>
                <w:color w:val="000000"/>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2759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信息化</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sz w:val="20"/>
                <w:szCs w:val="20"/>
              </w:rPr>
            </w:pPr>
            <w:r>
              <w:rPr>
                <w:rFonts w:hint="eastAsia"/>
                <w:sz w:val="20"/>
                <w:szCs w:val="20"/>
              </w:rPr>
              <w:t>智慧法院建设、庭审办案网络信息系统建设及运行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保障我院智慧法院建设、庭审办案网络信息系统建设及运行和其他信息化建设及运行，为强化司法公开、提高司法质效、提升司法公信力等智慧法院建设各项工作提供了有力保障。</w:t>
            </w:r>
          </w:p>
          <w:p w:rsidR="00627596" w:rsidRDefault="00627596">
            <w:pPr>
              <w:widowControl/>
              <w:jc w:val="center"/>
              <w:textAlignment w:val="center"/>
              <w:rPr>
                <w:sz w:val="20"/>
                <w:szCs w:val="20"/>
              </w:rPr>
            </w:pPr>
          </w:p>
        </w:tc>
      </w:tr>
      <w:tr w:rsidR="00627596">
        <w:trPr>
          <w:trHeight w:val="72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数量指标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信息化完成率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537"/>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按期完成</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27596">
        <w:trPr>
          <w:trHeight w:val="968"/>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社会效益指标</w:t>
            </w:r>
          </w:p>
        </w:tc>
        <w:tc>
          <w:tcPr>
            <w:tcW w:w="247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信息化工作</w:t>
            </w:r>
          </w:p>
        </w:tc>
        <w:tc>
          <w:tcPr>
            <w:tcW w:w="23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深化改革推动，提高司法质效</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提高了司法质效</w:t>
            </w:r>
          </w:p>
        </w:tc>
      </w:tr>
      <w:tr w:rsidR="0062759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仿宋_GB2312" w:eastAsia="仿宋_GB2312" w:hAnsi="仿宋_GB2312" w:cs="仿宋_GB2312" w:hint="eastAsia"/>
                <w:sz w:val="32"/>
                <w:szCs w:val="32"/>
              </w:rPr>
              <w:t>执行工作经费</w:t>
            </w:r>
          </w:p>
        </w:tc>
      </w:tr>
      <w:tr w:rsidR="0062759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峨眉山市人民法院</w:t>
            </w: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16</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16</w:t>
            </w:r>
          </w:p>
        </w:tc>
      </w:tr>
      <w:tr w:rsidR="0062759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16</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r>
      <w:tr w:rsidR="0062759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r>
      <w:tr w:rsidR="0062759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2759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627596">
            <w:pPr>
              <w:jc w:val="center"/>
              <w:rPr>
                <w:rFonts w:ascii="宋体" w:hAnsi="宋体" w:cs="宋体"/>
                <w:color w:val="000000"/>
                <w:sz w:val="24"/>
              </w:rPr>
            </w:pPr>
          </w:p>
        </w:tc>
        <w:tc>
          <w:tcPr>
            <w:tcW w:w="4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实现最高人民法院要求的在2-3年内基本解决执行难的工作目标</w:t>
            </w:r>
          </w:p>
        </w:tc>
        <w:tc>
          <w:tcPr>
            <w:tcW w:w="4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textAlignment w:val="center"/>
              <w:rPr>
                <w:rFonts w:ascii="宋体" w:hAnsi="宋体" w:cs="宋体"/>
                <w:color w:val="000000"/>
                <w:sz w:val="24"/>
              </w:rPr>
            </w:pPr>
            <w:r>
              <w:rPr>
                <w:rFonts w:ascii="宋体" w:hAnsi="宋体" w:cs="宋体" w:hint="eastAsia"/>
                <w:color w:val="000000"/>
                <w:sz w:val="24"/>
              </w:rPr>
              <w:t>进一步推进了基本解决执行难工作目标的实现</w:t>
            </w:r>
          </w:p>
        </w:tc>
      </w:tr>
      <w:tr w:rsidR="0062759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2759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sz w:val="20"/>
                <w:szCs w:val="20"/>
              </w:rPr>
            </w:pPr>
            <w:r>
              <w:rPr>
                <w:rFonts w:hint="eastAsia"/>
                <w:sz w:val="20"/>
                <w:szCs w:val="20"/>
              </w:rPr>
              <w:t>质量指标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jc w:val="center"/>
              <w:rPr>
                <w:rFonts w:ascii="宋体" w:hAnsi="宋体" w:cs="宋体"/>
                <w:sz w:val="20"/>
                <w:szCs w:val="20"/>
              </w:rPr>
            </w:pPr>
            <w:r>
              <w:rPr>
                <w:rFonts w:hint="eastAsia"/>
                <w:sz w:val="20"/>
                <w:szCs w:val="20"/>
              </w:rPr>
              <w:t>执行工作完成率</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jc w:val="center"/>
              <w:rPr>
                <w:rFonts w:ascii="宋体" w:hAnsi="宋体" w:cs="宋体"/>
                <w:sz w:val="20"/>
                <w:szCs w:val="20"/>
              </w:rPr>
            </w:pPr>
            <w:r>
              <w:rPr>
                <w:rFonts w:hint="eastAsia"/>
                <w:sz w:val="20"/>
                <w:szCs w:val="20"/>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jc w:val="center"/>
              <w:rPr>
                <w:rFonts w:ascii="宋体" w:hAnsi="宋体" w:cs="宋体"/>
                <w:sz w:val="20"/>
                <w:szCs w:val="20"/>
              </w:rPr>
            </w:pPr>
            <w:r>
              <w:rPr>
                <w:rFonts w:hint="eastAsia"/>
                <w:sz w:val="20"/>
                <w:szCs w:val="20"/>
              </w:rPr>
              <w:t>90%</w:t>
            </w:r>
          </w:p>
        </w:tc>
      </w:tr>
      <w:tr w:rsidR="0062759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rPr>
                <w:rFonts w:ascii="宋体" w:hAnsi="宋体" w:cs="宋体"/>
                <w:color w:val="000000"/>
                <w:kern w:val="0"/>
                <w:sz w:val="24"/>
              </w:rPr>
            </w:pPr>
            <w:r>
              <w:rPr>
                <w:rFonts w:ascii="宋体" w:hAnsi="宋体" w:cs="宋体" w:hint="eastAsia"/>
                <w:color w:val="000000"/>
                <w:kern w:val="0"/>
                <w:sz w:val="24"/>
              </w:rPr>
              <w:t>时效指标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ind w:firstLineChars="200" w:firstLine="480"/>
              <w:jc w:val="center"/>
              <w:rPr>
                <w:rFonts w:ascii="宋体" w:hAnsi="宋体" w:cs="宋体"/>
                <w:color w:val="000000"/>
                <w:kern w:val="0"/>
                <w:sz w:val="24"/>
              </w:rPr>
            </w:pPr>
            <w:r>
              <w:rPr>
                <w:rFonts w:ascii="宋体" w:hAnsi="宋体" w:cs="宋体" w:hint="eastAsia"/>
                <w:color w:val="000000"/>
                <w:kern w:val="0"/>
                <w:sz w:val="24"/>
              </w:rPr>
              <w:t>按期完成</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jc w:val="center"/>
              <w:rPr>
                <w:rFonts w:ascii="宋体" w:hAnsi="宋体" w:cs="宋体"/>
                <w:color w:val="000000"/>
                <w:kern w:val="0"/>
                <w:sz w:val="24"/>
              </w:rPr>
            </w:pPr>
            <w:r>
              <w:rPr>
                <w:rFonts w:ascii="宋体" w:hAnsi="宋体" w:cs="宋体" w:hint="eastAsia"/>
                <w:color w:val="000000"/>
                <w:kern w:val="0"/>
                <w:sz w:val="24"/>
              </w:rPr>
              <w:t>100%</w:t>
            </w:r>
          </w:p>
        </w:tc>
      </w:tr>
      <w:tr w:rsidR="00627596">
        <w:trPr>
          <w:trHeight w:val="1297"/>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社会效益指标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解决执行难</w:t>
            </w:r>
          </w:p>
        </w:tc>
        <w:tc>
          <w:tcPr>
            <w:tcW w:w="2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sz w:val="24"/>
              </w:rPr>
              <w:t>进一步推进了基本解决执行难工作目标的实现</w:t>
            </w:r>
          </w:p>
        </w:tc>
      </w:tr>
      <w:tr w:rsidR="00627596">
        <w:trPr>
          <w:trHeight w:val="1297"/>
          <w:jc w:val="center"/>
        </w:trPr>
        <w:tc>
          <w:tcPr>
            <w:tcW w:w="390" w:type="dxa"/>
            <w:tcBorders>
              <w:left w:val="single" w:sz="4" w:space="0" w:color="000000"/>
              <w:right w:val="single" w:sz="4" w:space="0" w:color="000000"/>
            </w:tcBorders>
            <w:tcMar>
              <w:top w:w="15" w:type="dxa"/>
              <w:left w:w="15" w:type="dxa"/>
              <w:right w:w="15" w:type="dxa"/>
            </w:tcMar>
            <w:vAlign w:val="center"/>
          </w:tcPr>
          <w:p w:rsidR="00627596" w:rsidRDefault="0062759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47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社会满意度</w:t>
            </w:r>
          </w:p>
        </w:tc>
        <w:tc>
          <w:tcPr>
            <w:tcW w:w="23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27596" w:rsidRDefault="00402537">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r>
    </w:tbl>
    <w:p w:rsidR="00627596" w:rsidRDefault="00627596">
      <w:pPr>
        <w:spacing w:line="580" w:lineRule="exact"/>
        <w:ind w:left="630"/>
        <w:rPr>
          <w:rFonts w:ascii="仿宋_GB2312" w:eastAsia="仿宋_GB2312" w:hAnsi="仿宋_GB2312" w:cs="仿宋_GB2312"/>
          <w:sz w:val="32"/>
          <w:szCs w:val="32"/>
        </w:rPr>
      </w:pPr>
    </w:p>
    <w:p w:rsidR="00627596" w:rsidRDefault="00627596">
      <w:pPr>
        <w:spacing w:line="580" w:lineRule="exact"/>
        <w:ind w:left="630"/>
        <w:rPr>
          <w:rFonts w:ascii="楷体_GB2312" w:eastAsia="楷体_GB2312" w:hAnsi="楷体_GB2312" w:cs="楷体_GB2312"/>
          <w:sz w:val="32"/>
          <w:szCs w:val="32"/>
        </w:rPr>
      </w:pPr>
    </w:p>
    <w:p w:rsidR="00627596" w:rsidRDefault="00402537">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627596" w:rsidRDefault="0040253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本部门按要求对2019年部门整体支出绩效评价情况开展自评，《峨眉山市人民法院2019年部门整体支出绩效评价报告》见附件（附件1）。</w:t>
      </w:r>
    </w:p>
    <w:p w:rsidR="00627596" w:rsidRDefault="00402537">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本部门自行组织对诉讼服务中心建设、送达外包服务项目开展了绩效评价，《诉讼服务中心建设、送达外包服务绩效评价报告》见附件（附件2）。</w:t>
      </w:r>
    </w:p>
    <w:p w:rsidR="00627596" w:rsidRDefault="00402537">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627596" w:rsidRDefault="00402537">
      <w:pPr>
        <w:numPr>
          <w:ilvl w:val="0"/>
          <w:numId w:val="3"/>
        </w:numPr>
        <w:spacing w:line="600" w:lineRule="exact"/>
        <w:ind w:firstLineChars="150" w:firstLine="660"/>
        <w:jc w:val="center"/>
        <w:outlineLvl w:val="0"/>
        <w:rPr>
          <w:rStyle w:val="1Char"/>
          <w:rFonts w:ascii="黑体" w:eastAsia="黑体" w:hAnsi="黑体"/>
          <w:b w:val="0"/>
        </w:rPr>
      </w:pPr>
      <w:bookmarkStart w:id="55" w:name="_Toc15377225"/>
      <w:bookmarkStart w:id="56"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5"/>
      <w:bookmarkEnd w:id="56"/>
    </w:p>
    <w:p w:rsidR="00627596" w:rsidRDefault="00627596">
      <w:pPr>
        <w:spacing w:line="600" w:lineRule="exact"/>
        <w:jc w:val="left"/>
        <w:rPr>
          <w:rFonts w:ascii="宋体"/>
          <w:b/>
          <w:color w:val="000000"/>
          <w:sz w:val="44"/>
          <w:szCs w:val="44"/>
        </w:rPr>
      </w:pP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Ansi="微软雅黑" w:cs="微软雅黑" w:hint="eastAsia"/>
          <w:sz w:val="32"/>
          <w:szCs w:val="32"/>
          <w:shd w:val="clear" w:color="auto" w:fill="FFFFFF"/>
        </w:rPr>
        <w:t xml:space="preserve"> 公共安全支出（类）法院（款）行政运行（项）：指用于正常运转的基本支出，包括基本工资、津贴补贴（或绩效工资）等人员经费以及办公费、印刷费、水电费等日常公用经费。</w:t>
      </w:r>
    </w:p>
    <w:p w:rsidR="00627596" w:rsidRDefault="00402537">
      <w:pPr>
        <w:pStyle w:val="a7"/>
        <w:widowControl/>
        <w:spacing w:before="210" w:after="210" w:line="560" w:lineRule="atLeast"/>
        <w:ind w:firstLine="641"/>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lastRenderedPageBreak/>
        <w:t>10</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公共安全支出（类）法院（款）一般行政管理事务（项）：指用于保障我院办案所需的专项经费支出。</w:t>
      </w:r>
    </w:p>
    <w:p w:rsidR="00627596" w:rsidRDefault="00402537">
      <w:pPr>
        <w:pStyle w:val="a7"/>
        <w:widowControl/>
        <w:spacing w:before="210" w:after="210" w:line="560" w:lineRule="atLeast"/>
        <w:ind w:firstLine="641"/>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11</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公共安全支出（类）法院（款）事业运行（项）：指用于事业人员的基本工资、津贴补贴（或绩效工资）等人员经费。</w:t>
      </w:r>
    </w:p>
    <w:p w:rsidR="00627596" w:rsidRDefault="00402537">
      <w:pPr>
        <w:pStyle w:val="a7"/>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12</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公共安全支出（类）法院（款）其他法院支出（项）：指其他用于法院方面的支出。</w:t>
      </w:r>
    </w:p>
    <w:p w:rsidR="00627596" w:rsidRDefault="00402537">
      <w:pPr>
        <w:pStyle w:val="a7"/>
        <w:widowControl/>
        <w:spacing w:before="210" w:after="210" w:line="560" w:lineRule="atLeast"/>
        <w:ind w:firstLine="641"/>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13.社会保障和就业（类）行政事业单位离退休（款）未归口管理的行政单位离退休（项）：指离退休人员的支出。</w:t>
      </w:r>
      <w:r>
        <w:rPr>
          <w:rFonts w:ascii="仿宋_GB2312" w:eastAsia="仿宋_GB2312" w:hAnsi="微软雅黑" w:cs="微软雅黑" w:hint="eastAsia"/>
          <w:color w:val="000000"/>
          <w:sz w:val="32"/>
          <w:szCs w:val="32"/>
          <w:shd w:val="clear" w:color="auto" w:fill="FFFFFF"/>
        </w:rPr>
        <w:br/>
        <w:t xml:space="preserve">    14</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社会保障和就业（类）行政事业单位离退休（款）机关事业单位基本养老保险缴费支出（项）：指部门实施养老保险制度由单位缴纳的养老保险费的支出。</w:t>
      </w:r>
      <w:r>
        <w:rPr>
          <w:rFonts w:ascii="仿宋_GB2312" w:eastAsia="仿宋_GB2312" w:hAnsi="微软雅黑" w:cs="微软雅黑"/>
          <w:color w:val="000000"/>
          <w:sz w:val="32"/>
          <w:szCs w:val="32"/>
          <w:shd w:val="clear" w:color="auto" w:fill="FFFFFF"/>
        </w:rPr>
        <w:br/>
      </w:r>
      <w:r>
        <w:rPr>
          <w:rFonts w:ascii="仿宋_GB2312" w:eastAsia="仿宋_GB2312" w:hAnsi="微软雅黑" w:cs="微软雅黑" w:hint="eastAsia"/>
          <w:color w:val="000000"/>
          <w:sz w:val="32"/>
          <w:szCs w:val="32"/>
          <w:shd w:val="clear" w:color="auto" w:fill="FFFFFF"/>
        </w:rPr>
        <w:t xml:space="preserve">    15</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社会保障和就业（类）行政事业单位离退休（款）机关事业单位职业年金缴费支出（项）：指部门实施养老保险制度由单位实际缴纳的职业年金的支出。</w:t>
      </w:r>
      <w:r>
        <w:rPr>
          <w:rFonts w:ascii="仿宋_GB2312" w:eastAsia="仿宋_GB2312" w:hAnsi="微软雅黑" w:cs="微软雅黑"/>
          <w:color w:val="000000"/>
          <w:sz w:val="32"/>
          <w:szCs w:val="32"/>
          <w:shd w:val="clear" w:color="auto" w:fill="FFFFFF"/>
        </w:rPr>
        <w:br/>
      </w:r>
      <w:r>
        <w:rPr>
          <w:rFonts w:ascii="仿宋_GB2312" w:eastAsia="仿宋_GB2312" w:hAnsi="微软雅黑" w:cs="微软雅黑" w:hint="eastAsia"/>
          <w:color w:val="000000"/>
          <w:sz w:val="32"/>
          <w:szCs w:val="32"/>
          <w:shd w:val="clear" w:color="auto" w:fill="FFFFFF"/>
        </w:rPr>
        <w:t xml:space="preserve">    16</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社会保障和就业（类）抚恤（款）其他优抚支出（项）：指反映除上述项目以外其他用于优抚方面支出。</w:t>
      </w:r>
    </w:p>
    <w:p w:rsidR="00627596" w:rsidRDefault="00402537">
      <w:pPr>
        <w:pStyle w:val="a7"/>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w:t>
      </w:r>
      <w:r>
        <w:rPr>
          <w:rFonts w:ascii="仿宋_GB2312" w:eastAsia="仿宋_GB2312" w:hAnsi="微软雅黑" w:cs="微软雅黑" w:hint="eastAsia"/>
          <w:color w:val="000000"/>
          <w:sz w:val="32"/>
          <w:szCs w:val="32"/>
          <w:shd w:val="clear" w:color="auto" w:fill="FFFFFF"/>
        </w:rPr>
        <w:t>7</w:t>
      </w:r>
      <w:r>
        <w:rPr>
          <w:rFonts w:ascii="仿宋_GB2312" w:eastAsia="仿宋_GB2312" w:hAnsi="微软雅黑" w:cs="微软雅黑"/>
          <w:color w:val="000000"/>
          <w:sz w:val="32"/>
          <w:szCs w:val="32"/>
          <w:shd w:val="clear" w:color="auto" w:fill="FFFFFF"/>
        </w:rPr>
        <w:t xml:space="preserve">. </w:t>
      </w:r>
      <w:r>
        <w:rPr>
          <w:rFonts w:ascii="仿宋_GB2312" w:eastAsia="仿宋_GB2312" w:hAnsi="微软雅黑" w:cs="微软雅黑" w:hint="eastAsia"/>
          <w:color w:val="000000"/>
          <w:sz w:val="32"/>
          <w:szCs w:val="32"/>
          <w:shd w:val="clear" w:color="auto" w:fill="FFFFFF"/>
        </w:rPr>
        <w:t>卫生健康支出（类）行政事业单位医疗（款）行政单位医疗（项）指：机关及下属事业单位按照规定标准为职工缴纳的基本医疗保险支出。</w:t>
      </w:r>
    </w:p>
    <w:p w:rsidR="00627596" w:rsidRDefault="00402537">
      <w:pPr>
        <w:pStyle w:val="a7"/>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lastRenderedPageBreak/>
        <w:t>1</w:t>
      </w:r>
      <w:r>
        <w:rPr>
          <w:rFonts w:ascii="仿宋_GB2312" w:eastAsia="仿宋_GB2312" w:hAnsi="微软雅黑" w:cs="微软雅黑" w:hint="eastAsia"/>
          <w:color w:val="000000"/>
          <w:sz w:val="32"/>
          <w:szCs w:val="32"/>
          <w:shd w:val="clear" w:color="auto" w:fill="FFFFFF"/>
        </w:rPr>
        <w:t>8</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城乡社区支出（类）国有土地使用权出让收入及对应专项债务收入安排的支出（款）土地开发支出（项）：指风景区违建整治工作经费。</w:t>
      </w:r>
    </w:p>
    <w:p w:rsidR="00627596" w:rsidRDefault="00402537">
      <w:pPr>
        <w:pStyle w:val="a7"/>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color w:val="000000"/>
          <w:sz w:val="32"/>
          <w:szCs w:val="32"/>
          <w:shd w:val="clear" w:color="auto" w:fill="FFFFFF"/>
        </w:rPr>
        <w:t>1</w:t>
      </w:r>
      <w:r>
        <w:rPr>
          <w:rFonts w:ascii="仿宋_GB2312" w:eastAsia="仿宋_GB2312" w:hAnsi="微软雅黑" w:cs="微软雅黑" w:hint="eastAsia"/>
          <w:color w:val="000000"/>
          <w:sz w:val="32"/>
          <w:szCs w:val="32"/>
          <w:shd w:val="clear" w:color="auto" w:fill="FFFFFF"/>
        </w:rPr>
        <w:t>9</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城乡社区支出（类）国有土地使用权出让收入及对应专项债务收入安排的支出（款）其他国有土地使用权出让收入安排的支出（项）：指创文创卫工作经费、编外人员劳费</w:t>
      </w:r>
    </w:p>
    <w:p w:rsidR="00627596" w:rsidRDefault="00402537">
      <w:pPr>
        <w:pStyle w:val="a7"/>
        <w:widowControl/>
        <w:spacing w:before="210" w:after="210" w:line="560" w:lineRule="atLeast"/>
        <w:ind w:firstLine="640"/>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20</w:t>
      </w:r>
      <w:r>
        <w:rPr>
          <w:rFonts w:ascii="仿宋_GB2312" w:eastAsia="仿宋_GB2312" w:hAnsi="微软雅黑" w:cs="微软雅黑"/>
          <w:color w:val="000000"/>
          <w:sz w:val="32"/>
          <w:szCs w:val="32"/>
          <w:shd w:val="clear" w:color="auto" w:fill="FFFFFF"/>
        </w:rPr>
        <w:t>.</w:t>
      </w:r>
      <w:r>
        <w:rPr>
          <w:rFonts w:ascii="仿宋_GB2312" w:eastAsia="仿宋_GB2312" w:hAnsi="微软雅黑" w:cs="微软雅黑" w:hint="eastAsia"/>
          <w:color w:val="000000"/>
          <w:sz w:val="32"/>
          <w:szCs w:val="32"/>
          <w:shd w:val="clear" w:color="auto" w:fill="FFFFFF"/>
        </w:rPr>
        <w:t>住房保障支出（类）住房改革支出（款）住房公积金（项）指：部门按人力资源和社会保障部、财政部规定的基本工资和津贴补贴以及规定比例为职工缴纳的住房公积金支出。</w:t>
      </w:r>
    </w:p>
    <w:p w:rsidR="00627596" w:rsidRDefault="00402537">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627596" w:rsidRDefault="00402537">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627596" w:rsidRDefault="00402537">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w:t>
      </w:r>
      <w:r>
        <w:rPr>
          <w:rFonts w:ascii="仿宋_GB2312" w:eastAsia="仿宋_GB2312" w:hint="eastAsia"/>
          <w:sz w:val="32"/>
          <w:szCs w:val="32"/>
        </w:rPr>
        <w:lastRenderedPageBreak/>
        <w:t>公务用车购置及运行费反映单位公务用车车辆购置支出（含车辆购置税）及租用费、燃料费、维修费、过路过桥费、保险费等支出；公务接待费反映单位按规定开支的各类公务接待（含外宾接待）支出。</w:t>
      </w:r>
    </w:p>
    <w:p w:rsidR="00627596" w:rsidRDefault="0040253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27596" w:rsidRDefault="00402537">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627596" w:rsidRDefault="00402537">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627596" w:rsidRDefault="00627596">
      <w:pPr>
        <w:spacing w:line="580" w:lineRule="exact"/>
        <w:jc w:val="center"/>
        <w:rPr>
          <w:rFonts w:ascii="方正小标宋简体" w:eastAsia="方正小标宋简体" w:hAnsi="方正小标宋简体" w:cs="方正小标宋简体"/>
          <w:sz w:val="44"/>
          <w:szCs w:val="44"/>
        </w:rPr>
      </w:pPr>
    </w:p>
    <w:p w:rsidR="00627596" w:rsidRDefault="00402537">
      <w:pPr>
        <w:widowControl/>
        <w:spacing w:line="560" w:lineRule="exact"/>
        <w:contextualSpacing/>
        <w:jc w:val="center"/>
        <w:rPr>
          <w:rFonts w:ascii="方正小标宋简体" w:eastAsia="方正小标宋简体" w:hAnsi="宋体"/>
          <w:b/>
          <w:sz w:val="44"/>
          <w:szCs w:val="44"/>
          <w:shd w:val="clear" w:color="auto" w:fill="FFFFFF"/>
        </w:rPr>
      </w:pPr>
      <w:r>
        <w:rPr>
          <w:rFonts w:ascii="方正小标宋简体" w:eastAsia="方正小标宋简体" w:hAnsi="宋体" w:hint="eastAsia"/>
          <w:b/>
          <w:sz w:val="44"/>
          <w:szCs w:val="44"/>
          <w:shd w:val="clear" w:color="auto" w:fill="FFFFFF"/>
        </w:rPr>
        <w:t>2020年部门整体支出绩效评价</w:t>
      </w:r>
    </w:p>
    <w:p w:rsidR="00627596" w:rsidRDefault="00402537">
      <w:pPr>
        <w:widowControl/>
        <w:spacing w:line="560" w:lineRule="exact"/>
        <w:contextualSpacing/>
        <w:jc w:val="center"/>
        <w:rPr>
          <w:rFonts w:ascii="方正小标宋简体" w:eastAsia="方正小标宋简体" w:hAnsi="宋体"/>
          <w:b/>
          <w:sz w:val="44"/>
          <w:szCs w:val="44"/>
          <w:shd w:val="clear" w:color="auto" w:fill="FFFFFF"/>
        </w:rPr>
      </w:pPr>
      <w:r>
        <w:rPr>
          <w:rFonts w:ascii="方正小标宋简体" w:eastAsia="方正小标宋简体" w:hAnsi="宋体" w:hint="eastAsia"/>
          <w:b/>
          <w:sz w:val="44"/>
          <w:szCs w:val="44"/>
          <w:shd w:val="clear" w:color="auto" w:fill="FFFFFF"/>
        </w:rPr>
        <w:t>报告范本</w:t>
      </w:r>
    </w:p>
    <w:p w:rsidR="00627596" w:rsidRDefault="00627596">
      <w:pPr>
        <w:widowControl/>
        <w:adjustRightInd w:val="0"/>
        <w:snapToGrid w:val="0"/>
        <w:spacing w:line="560" w:lineRule="exact"/>
        <w:ind w:firstLineChars="200" w:firstLine="480"/>
        <w:contextualSpacing/>
        <w:jc w:val="left"/>
        <w:rPr>
          <w:rFonts w:ascii="黑体" w:eastAsia="黑体" w:hAnsi="宋体" w:cs="宋体"/>
          <w:color w:val="000000"/>
          <w:kern w:val="0"/>
          <w:sz w:val="24"/>
          <w:szCs w:val="32"/>
          <w:shd w:val="clear" w:color="auto" w:fill="FFFFFF"/>
        </w:rPr>
      </w:pP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一、</w:t>
      </w:r>
      <w:r>
        <w:rPr>
          <w:rFonts w:ascii="仿宋_GB2312" w:eastAsia="仿宋_GB2312" w:hAnsi="宋体" w:cs="宋体" w:hint="eastAsia"/>
          <w:color w:val="000000"/>
          <w:kern w:val="0"/>
          <w:sz w:val="32"/>
          <w:szCs w:val="32"/>
          <w:shd w:val="clear" w:color="auto" w:fill="FFFFFF"/>
          <w:lang w:val="zh-CN"/>
        </w:rPr>
        <w:t>部门（单位）概况</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2019年我院研究制定了机构改革方案，机关内设政治处、综合办公室、立案庭、刑事审判庭、民事审判庭、行政审判庭、执行庭、审判管理办公室8个内设机构，另设司法警察大队，胜利人民法庭，九里人民法庭、峨山人民法庭、龙池人民法庭。</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审理法律规定、上级法院指定由基层法院管辖的刑事、民事、行政等第一审案件；依法行使司法执行权和司法决定权，执行本院已经发生法律效力的判决、裁定以及国家行政机关申请执行的案件和外地法院委托执行的案件；组织开展对外司法交流活动；对有关法律、法规、规章草案提出意见；对案件审理中发现的问题提出司法建议；负责本院干警思想政治工作、教育培训工作；按照权限管理法官和其他人员以及本院督查工作；参与社会治安综合治理工作；结合审判工作宣传法制，教育公民自觉遵守宪法和法律；协调、指导、</w:t>
      </w:r>
      <w:r>
        <w:rPr>
          <w:rFonts w:ascii="仿宋_GB2312" w:eastAsia="仿宋_GB2312" w:hAnsi="Arial" w:cs="Arial" w:hint="eastAsia"/>
          <w:color w:val="333333"/>
          <w:sz w:val="32"/>
          <w:szCs w:val="32"/>
          <w:shd w:val="clear" w:color="auto" w:fill="FFFFFF"/>
        </w:rPr>
        <w:lastRenderedPageBreak/>
        <w:t>管理、监督人民陪审员和调解员的各项工作；管理本院有关经费和物资装备；承办其他应由基层法院负责的工作。</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1、编制人数：政法专项编制93人，工勤编制4人，事业编制10人，离休人员1人。</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2、2019年末实有人数：政法专项编制80人，工勤编制5人，事业编制8人，离休人员1人。</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二、部门财政资金收支情况</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2019年峨眉山市人民法院收入决算总额为3337.53万元，其中：当年财政拨款收入3125.39万元，上年结转收入212.14万元，其他收入0万元。</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2019年支出决算总额为3337.53万元，其中：公共安全支出2677.25万元，社会保障和就业185.44万元，医疗卫生46.11万元，城乡社区支出64.41万元，住房保障支出150.55万元。年末结转和结余213.77万元。</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三、部门整体预算绩效管理情况</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627596" w:rsidRDefault="00402537">
      <w:pPr>
        <w:widowControl/>
        <w:adjustRightInd w:val="0"/>
        <w:snapToGrid w:val="0"/>
        <w:spacing w:line="58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按照省级部门预算编制通知和有关要求，按时完成了基础库、项目库报送工作，按时完成了预算编制工作，并按时提交了部门预算草案。预算编制准确，并对专项预算提前进行了细化，并按时按要求进行了预算公开。</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（二）执行管理情况。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1、收入：截止2019年6月到位财政资金1800.74万元，占最终预算资金的58%；截止2019年9月到位财政资金2292.06万元，占最终预算资金73%；截止2019年11月到位财政资金2749.72万元，占最终预算资金88%；截止2019年12月到位财政资金3125.39万元，占最终预算资金100%。</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2、支出：截止2019年6月支出1556.37万元，占全年总支出50%；截止2019年9月支出2159.12万元，占全年总支出69%；截止2019年11月支出2550.12万元，占全年总支出82%；2019年全年支出3123.76万元。</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3、6月、9月、11月、全年执行进度达到了本部门应达到的执行进度</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（三）支出绩效情况。</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1．部门支出绩效。</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（1）行政运转保障。</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日常支出保障了机关的正常运转，完成了日常工作任务以及上级机关交办的其他相关工作。</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（2）机关厉行节约。</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2019年度机关因公出国（境）费用0万元；2019年会议费0.62万元,，同比下降93%；2019年车辆购置及运行费用51.61万元，同比下降29%；2019年公务接待费3.11万</w:t>
      </w:r>
      <w:r>
        <w:rPr>
          <w:rFonts w:ascii="仿宋_GB2312" w:eastAsia="仿宋_GB2312" w:hAnsi="Arial" w:cs="Arial" w:hint="eastAsia"/>
          <w:color w:val="333333"/>
          <w:sz w:val="32"/>
          <w:szCs w:val="32"/>
          <w:shd w:val="clear" w:color="auto" w:fill="FFFFFF"/>
        </w:rPr>
        <w:lastRenderedPageBreak/>
        <w:t>元，同比下降41%。机关严格按照相关规定执行，严控三公经费。</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（3）机关节能降耗。</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进一步加强节能管理，实现机关节能。</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2．专项预算项目支出绩效。</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（1）项目资金管理情况。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我院严格按照预算编制用途使用资金，并按照均衡性原则编制基本支出用款计划和按照项目实施进度编制项目支出用款计划，建立健全了相关规章制度，制度执行严格合规，会计核算符合相关规定，资金专款专用，资金支付依据和开支标准合法合规。</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（2）绩效目标完成情况。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我院档案数字化工作经费，服装购置费,派出法庭安保及管理运行经费,陪审员、家事调查员、调解员、律师协助调解、心理辅导员,执行工作经费,审判法庭（办公大楼）综合管理运行经费,诉讼服务中心建设、送达外包服务，信息化工作经，纪委监察派驻机构工作经费等项目顺利进行，项目实施完成后，将为我市审判执行工作提供有力的服务保障。</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（四）财务管理情况。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我院建立了财务管理规章制度，会计核算、账务管理、政府采购严格按照财务管理制度执行；建立了资金使用统计核算台账；严格执行《政府采购法》、《招投标法》及相关法</w:t>
      </w:r>
      <w:r>
        <w:rPr>
          <w:rFonts w:ascii="仿宋_GB2312" w:eastAsia="仿宋_GB2312" w:hAnsi="Arial" w:cs="Arial" w:hint="eastAsia"/>
          <w:color w:val="333333"/>
          <w:sz w:val="32"/>
          <w:szCs w:val="32"/>
          <w:shd w:val="clear" w:color="auto" w:fill="FFFFFF"/>
        </w:rPr>
        <w:lastRenderedPageBreak/>
        <w:t>律法规，实施所有计划内政府采购项目，并能提供齐全审批材料。</w:t>
      </w:r>
    </w:p>
    <w:p w:rsidR="00627596" w:rsidRDefault="00402537">
      <w:pPr>
        <w:widowControl/>
        <w:adjustRightInd w:val="0"/>
        <w:snapToGrid w:val="0"/>
        <w:spacing w:line="580" w:lineRule="exact"/>
        <w:ind w:firstLine="72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（五）绩效管理工作开展情况。</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根据《峨眉山市财政局关于开展2020年财政支出绩效评价工作的通知》精神，我院领导高度重视，立即成立了绩效评价工作小组，按照2020年部门支出绩效评价指标体系认真组织了我院自查考评工作。我院将综合分析此次评价结果，建立评价结果在预算安排中的激励与约束机制，逐步发挥绩效评价工作的应有作用。</w:t>
      </w:r>
    </w:p>
    <w:p w:rsidR="00627596" w:rsidRDefault="0040253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四、评价结论及建议</w:t>
      </w:r>
    </w:p>
    <w:p w:rsidR="00627596" w:rsidRDefault="00402537">
      <w:pPr>
        <w:widowControl/>
        <w:adjustRightInd w:val="0"/>
        <w:snapToGrid w:val="0"/>
        <w:spacing w:line="620" w:lineRule="exact"/>
        <w:ind w:firstLine="720"/>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一）评价结论：优秀，我院预算支出具有明确的目标，资金到位及时，并制定了科学的实施计划，严格按照有关项目管理和经费管理规定执行。各项预算支出顺利进行，并按计划圆满完成，有效保障了我院审判执行工作。</w:t>
      </w:r>
    </w:p>
    <w:p w:rsidR="00627596" w:rsidRDefault="00627596">
      <w:pPr>
        <w:widowControl/>
        <w:adjustRightInd w:val="0"/>
        <w:snapToGrid w:val="0"/>
        <w:spacing w:line="620" w:lineRule="exact"/>
        <w:ind w:firstLine="720"/>
        <w:jc w:val="right"/>
        <w:rPr>
          <w:rFonts w:ascii="仿宋_GB2312" w:eastAsia="仿宋_GB2312" w:hAnsi="Arial" w:cs="Arial"/>
          <w:color w:val="333333"/>
          <w:sz w:val="32"/>
          <w:szCs w:val="32"/>
          <w:shd w:val="clear" w:color="auto" w:fill="FFFFFF"/>
        </w:rPr>
      </w:pPr>
    </w:p>
    <w:p w:rsidR="00627596" w:rsidRDefault="00402537">
      <w:pPr>
        <w:widowControl/>
        <w:adjustRightInd w:val="0"/>
        <w:snapToGrid w:val="0"/>
        <w:spacing w:line="620" w:lineRule="exact"/>
        <w:ind w:firstLine="720"/>
        <w:jc w:val="righ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2020年10月30日</w:t>
      </w:r>
    </w:p>
    <w:p w:rsidR="00627596" w:rsidRDefault="00627596">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402537">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627596" w:rsidRDefault="00627596">
      <w:pPr>
        <w:spacing w:line="580" w:lineRule="exact"/>
        <w:ind w:firstLineChars="200" w:firstLine="640"/>
        <w:rPr>
          <w:rFonts w:ascii="仿宋_GB2312" w:eastAsia="仿宋_GB2312" w:hAnsi="仿宋_GB2312" w:cs="仿宋_GB2312"/>
          <w:sz w:val="32"/>
          <w:szCs w:val="32"/>
        </w:rPr>
      </w:pPr>
    </w:p>
    <w:p w:rsidR="00627596" w:rsidRDefault="00402537">
      <w:pPr>
        <w:snapToGrid w:val="0"/>
        <w:spacing w:line="560" w:lineRule="exact"/>
        <w:jc w:val="center"/>
        <w:rPr>
          <w:rFonts w:ascii="黑体" w:eastAsia="黑体" w:hAnsi="宋体"/>
          <w:b/>
          <w:sz w:val="44"/>
          <w:szCs w:val="44"/>
        </w:rPr>
      </w:pPr>
      <w:r>
        <w:rPr>
          <w:rFonts w:ascii="黑体" w:eastAsia="黑体" w:hAnsi="宋体" w:hint="eastAsia"/>
          <w:b/>
          <w:sz w:val="44"/>
          <w:szCs w:val="44"/>
        </w:rPr>
        <w:t>峨眉山市人民法院项目支出绩效评价报告</w:t>
      </w:r>
    </w:p>
    <w:p w:rsidR="00627596" w:rsidRDefault="00402537">
      <w:pPr>
        <w:tabs>
          <w:tab w:val="left" w:pos="3885"/>
        </w:tabs>
        <w:snapToGrid w:val="0"/>
        <w:spacing w:line="560" w:lineRule="exact"/>
        <w:jc w:val="center"/>
        <w:rPr>
          <w:rFonts w:ascii="宋体" w:hAnsi="宋体"/>
          <w:sz w:val="30"/>
          <w:szCs w:val="30"/>
        </w:rPr>
      </w:pPr>
      <w:r>
        <w:rPr>
          <w:rFonts w:ascii="宋体" w:hAnsi="宋体" w:hint="eastAsia"/>
          <w:sz w:val="30"/>
          <w:szCs w:val="30"/>
        </w:rPr>
        <w:t>（诉讼服务中心建设、送达外包服务项目）</w:t>
      </w:r>
    </w:p>
    <w:p w:rsidR="00627596" w:rsidRDefault="00627596">
      <w:pPr>
        <w:tabs>
          <w:tab w:val="left" w:pos="3885"/>
        </w:tabs>
        <w:snapToGrid w:val="0"/>
        <w:spacing w:line="560" w:lineRule="exact"/>
        <w:jc w:val="left"/>
        <w:rPr>
          <w:rFonts w:ascii="仿宋_GB2312" w:hAnsi="宋体"/>
        </w:rPr>
      </w:pPr>
    </w:p>
    <w:p w:rsidR="00627596" w:rsidRDefault="00402537">
      <w:pPr>
        <w:spacing w:line="560" w:lineRule="exact"/>
        <w:ind w:firstLineChars="200" w:firstLine="422"/>
        <w:jc w:val="left"/>
        <w:rPr>
          <w:rFonts w:ascii="仿宋_GB2312" w:eastAsia="仿宋_GB2312"/>
          <w:b/>
          <w:sz w:val="32"/>
          <w:szCs w:val="32"/>
        </w:rPr>
      </w:pPr>
      <w:r>
        <w:rPr>
          <w:rFonts w:ascii="仿宋_GB2312" w:hint="eastAsia"/>
          <w:b/>
        </w:rPr>
        <w:t>一</w:t>
      </w:r>
      <w:r>
        <w:rPr>
          <w:rFonts w:ascii="仿宋_GB2312" w:eastAsia="仿宋_GB2312" w:hint="eastAsia"/>
          <w:b/>
          <w:sz w:val="32"/>
          <w:szCs w:val="32"/>
        </w:rPr>
        <w:t>、项目决策</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1、项目前期评估论证情况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诉讼服务中心建设及送达外包服务项目，是贯彻落实省、市法院《关于全面推进全省法院诉讼服务中心实质化运行实施意见》工作的重要内容。我院根据上级文件要求，结合本院实际，制定了《诉讼服务中心建设提档升级工作实施方案》和《诉讼服务中心建设运用实质化纲要》，根据《方案》和《纲要》要求，有序推进各项工作，严格执行政府采购程序。</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2、针对该项目制度配套情况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我院制定了《峨眉山市人民法院内部控制管理制度》，各项工作开展依照制度要求执行。</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3、符合上级决策及中长期规划情况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诉讼服务中心建设工作，坚持以人民为中心的发展思想，全面提供普惠均等、便捷高效、智能精准的诉讼服务，让人民群众在司法改革实践中有更多的获得感，为乐山建设世界重要旅游目的地和全省区域中心城市、争创全省经济副中心提供优质的诉讼服务。</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4、绩效目标设定情况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坚持高站位、高标准、高质量、高水平打造诉讼服务中</w:t>
      </w:r>
      <w:r>
        <w:rPr>
          <w:rFonts w:ascii="仿宋_GB2312" w:eastAsia="仿宋_GB2312" w:hint="eastAsia"/>
          <w:sz w:val="32"/>
          <w:szCs w:val="32"/>
        </w:rPr>
        <w:lastRenderedPageBreak/>
        <w:t>心，对标“实体运行、实绩提升、”要求，秉承以“最优质的司法环境服务群众”的理念，努力实现诉讼服务中心规范化、实务化、解纷化、智能化。</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5、信息公示公开情况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我院在2018年向财政报送了100万元的诉讼服务中心建设项目预算，财政批复后的部门预算，我院在本院政务外网上进行了公示。</w:t>
      </w:r>
    </w:p>
    <w:p w:rsidR="00627596" w:rsidRDefault="0040253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二、项目实施</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1、资金分配时效</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资金到位后及时分配</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2、资金分配方法及分配过程</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按照项目推进的先后顺序完成资金分配。</w:t>
      </w:r>
    </w:p>
    <w:p w:rsidR="00627596" w:rsidRDefault="0040253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三、完成结果</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1、资金拨付情况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市财政分别于2019年1月拨付资金20万元、11月拨付资金10万元、12月拨付资金70万元，共计100万元。</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2、资金使用过程中合规、合法等情况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严格执行专款专用，开支范围、标准符合规定，支付依据合规合法，依法按照规定用途支付。</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3、项目变更、验收、资料归档情况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项目执行过程中无变更情况，验收均有监督部门参与，档案资料完整。</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4、该项目接受审计监督、财政检查、绩效评价等及整改情况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该项目暂未接受相关检查。</w:t>
      </w:r>
    </w:p>
    <w:p w:rsidR="00627596" w:rsidRDefault="0040253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四、项目效果</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1、项目完成数量、质量、时效、成本情况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诉讼服务中心项目包含送达外包服务、诉讼服务大厅改造装修装饰、办公家具添置、浮雕文化墙、智慧诉讼设备项目，上述项目均已完成建设工作并通过验收。在时效上，存在效率不高的问题：一是项目开展时间滞后，年初制定的项目计划在年中、年末才实施完毕；二是项目款均集中在年末才完成支付。</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2、项目实施效益产生情况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诉讼服务中心提档升级工作的完成，提升了司法公信力，实现了司法为民、便民的宗旨，形成了面向法官、诉讼参与人、社会公众等“一站式”综合服务体系。</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3、受益群体满意度情况</w:t>
      </w:r>
    </w:p>
    <w:p w:rsidR="00627596" w:rsidRDefault="0040253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通过“一站式”的诉讼服务中心综合服务体系，为各诉讼参与人提供了良好的业务办理环境，能更加自主、方便、快捷的办理诉讼相关事务，受到一致好评。</w:t>
      </w:r>
    </w:p>
    <w:p w:rsidR="00627596" w:rsidRDefault="00627596">
      <w:pPr>
        <w:spacing w:line="560" w:lineRule="exact"/>
        <w:jc w:val="left"/>
        <w:rPr>
          <w:rFonts w:ascii="仿宋_GB2312" w:eastAsia="仿宋_GB2312"/>
          <w:sz w:val="32"/>
          <w:szCs w:val="32"/>
        </w:rPr>
      </w:pPr>
    </w:p>
    <w:p w:rsidR="00627596" w:rsidRDefault="00627596">
      <w:pPr>
        <w:spacing w:line="560" w:lineRule="exact"/>
        <w:jc w:val="left"/>
        <w:rPr>
          <w:rFonts w:ascii="仿宋_GB2312" w:eastAsia="仿宋_GB2312"/>
          <w:sz w:val="32"/>
          <w:szCs w:val="32"/>
        </w:rPr>
      </w:pPr>
    </w:p>
    <w:p w:rsidR="00627596" w:rsidRDefault="00402537">
      <w:pPr>
        <w:spacing w:line="560" w:lineRule="exact"/>
        <w:jc w:val="left"/>
        <w:rPr>
          <w:rFonts w:ascii="仿宋_GB2312" w:eastAsia="仿宋_GB2312"/>
          <w:sz w:val="32"/>
          <w:szCs w:val="32"/>
        </w:rPr>
      </w:pPr>
      <w:r>
        <w:rPr>
          <w:rFonts w:ascii="仿宋_GB2312" w:eastAsia="仿宋_GB2312" w:hint="eastAsia"/>
          <w:sz w:val="32"/>
          <w:szCs w:val="32"/>
        </w:rPr>
        <w:t xml:space="preserve">                                   2020年10月30日</w:t>
      </w:r>
      <w:bookmarkStart w:id="59" w:name="_GoBack"/>
      <w:bookmarkEnd w:id="59"/>
    </w:p>
    <w:p w:rsidR="00627596" w:rsidRDefault="00402537">
      <w:pPr>
        <w:widowControl/>
        <w:jc w:val="left"/>
        <w:rPr>
          <w:rStyle w:val="1Char"/>
          <w:rFonts w:ascii="仿宋_GB2312" w:eastAsia="仿宋_GB2312" w:hAnsi="黑体"/>
          <w:b w:val="0"/>
          <w:sz w:val="32"/>
          <w:szCs w:val="32"/>
        </w:rPr>
      </w:pPr>
      <w:r>
        <w:rPr>
          <w:rStyle w:val="1Char"/>
          <w:rFonts w:ascii="仿宋_GB2312" w:eastAsia="仿宋_GB2312" w:hAnsi="黑体" w:hint="eastAsia"/>
          <w:b w:val="0"/>
          <w:sz w:val="32"/>
          <w:szCs w:val="32"/>
        </w:rPr>
        <w:br w:type="page"/>
      </w:r>
    </w:p>
    <w:p w:rsidR="00627596" w:rsidRDefault="00627596">
      <w:pPr>
        <w:spacing w:line="600" w:lineRule="exact"/>
        <w:jc w:val="center"/>
        <w:outlineLvl w:val="0"/>
        <w:rPr>
          <w:rStyle w:val="1Char"/>
          <w:rFonts w:ascii="黑体" w:eastAsia="黑体" w:hAnsi="黑体"/>
          <w:b w:val="0"/>
        </w:rPr>
      </w:pPr>
    </w:p>
    <w:p w:rsidR="00627596" w:rsidRDefault="00402537">
      <w:pPr>
        <w:spacing w:line="60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7"/>
      <w:bookmarkEnd w:id="60"/>
    </w:p>
    <w:p w:rsidR="00627596" w:rsidRDefault="00627596">
      <w:pPr>
        <w:spacing w:line="600" w:lineRule="exact"/>
        <w:jc w:val="center"/>
        <w:outlineLvl w:val="0"/>
        <w:rPr>
          <w:rFonts w:ascii="仿宋" w:eastAsia="仿宋" w:hAnsi="仿宋"/>
          <w:b/>
          <w:color w:val="000000"/>
          <w:sz w:val="44"/>
          <w:szCs w:val="44"/>
        </w:rPr>
      </w:pPr>
    </w:p>
    <w:p w:rsidR="00627596" w:rsidRDefault="00402537">
      <w:pPr>
        <w:pStyle w:val="2"/>
        <w:rPr>
          <w:rFonts w:ascii="仿宋" w:eastAsia="仿宋" w:hAnsi="仿宋"/>
          <w:color w:val="000000"/>
        </w:rPr>
      </w:pPr>
      <w:bookmarkStart w:id="61" w:name="_Toc15396619"/>
      <w:r>
        <w:rPr>
          <w:rFonts w:ascii="仿宋" w:eastAsia="仿宋" w:hAnsi="仿宋" w:hint="eastAsia"/>
          <w:b w:val="0"/>
          <w:color w:val="000000"/>
        </w:rPr>
        <w:t>一、收</w:t>
      </w:r>
      <w:r>
        <w:rPr>
          <w:rStyle w:val="2Char"/>
          <w:rFonts w:ascii="仿宋" w:eastAsia="仿宋" w:hAnsi="仿宋" w:hint="eastAsia"/>
        </w:rPr>
        <w:t>入支出决算总表</w:t>
      </w:r>
      <w:bookmarkEnd w:id="61"/>
    </w:p>
    <w:p w:rsidR="00627596" w:rsidRDefault="00402537">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入决算表</w:t>
      </w:r>
      <w:bookmarkEnd w:id="62"/>
    </w:p>
    <w:p w:rsidR="00627596" w:rsidRDefault="00402537">
      <w:pPr>
        <w:pStyle w:val="2"/>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3"/>
    </w:p>
    <w:p w:rsidR="00627596" w:rsidRDefault="00402537">
      <w:pPr>
        <w:pStyle w:val="2"/>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627596" w:rsidRDefault="00402537">
      <w:pPr>
        <w:pStyle w:val="2"/>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6" w:name="_Toc15396624"/>
      <w:bookmarkEnd w:id="65"/>
    </w:p>
    <w:p w:rsidR="00627596" w:rsidRDefault="00402537">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627596" w:rsidRDefault="00402537">
      <w:pPr>
        <w:pStyle w:val="2"/>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627596" w:rsidRDefault="00402537">
      <w:pPr>
        <w:pStyle w:val="2"/>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627596" w:rsidRDefault="00402537">
      <w:pPr>
        <w:pStyle w:val="2"/>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627596" w:rsidRDefault="00402537">
      <w:pPr>
        <w:pStyle w:val="2"/>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627596" w:rsidRDefault="00402537">
      <w:pPr>
        <w:pStyle w:val="2"/>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627596" w:rsidRDefault="00402537">
      <w:pPr>
        <w:pStyle w:val="2"/>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p>
    <w:p w:rsidR="00627596" w:rsidRDefault="00402537">
      <w:pPr>
        <w:pStyle w:val="2"/>
        <w:rPr>
          <w:rFonts w:ascii="仿宋" w:eastAsia="仿宋" w:hAnsi="仿宋"/>
          <w:color w:val="000000" w:themeColor="text1"/>
        </w:rPr>
      </w:pPr>
      <w:bookmarkStart w:id="73"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3"/>
    </w:p>
    <w:sectPr w:rsidR="00627596" w:rsidSect="0062759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92" w:rsidRDefault="00176292" w:rsidP="00627596">
      <w:r>
        <w:separator/>
      </w:r>
    </w:p>
  </w:endnote>
  <w:endnote w:type="continuationSeparator" w:id="1">
    <w:p w:rsidR="00176292" w:rsidRDefault="00176292" w:rsidP="00627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00000000"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3" w:rsidRDefault="00B54D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27596" w:rsidRDefault="004F5909">
        <w:pPr>
          <w:pStyle w:val="a5"/>
          <w:jc w:val="center"/>
        </w:pPr>
        <w:r w:rsidRPr="004F5909">
          <w:fldChar w:fldCharType="begin"/>
        </w:r>
        <w:r w:rsidR="00402537">
          <w:instrText>PAGE   \* MERGEFORMAT</w:instrText>
        </w:r>
        <w:r w:rsidRPr="004F5909">
          <w:fldChar w:fldCharType="separate"/>
        </w:r>
        <w:r w:rsidR="00B54D53" w:rsidRPr="00B54D53">
          <w:rPr>
            <w:noProof/>
            <w:lang w:val="zh-CN"/>
          </w:rPr>
          <w:t>37</w:t>
        </w:r>
        <w:r>
          <w:rPr>
            <w:lang w:val="zh-CN"/>
          </w:rPr>
          <w:fldChar w:fldCharType="end"/>
        </w:r>
      </w:p>
    </w:sdtContent>
  </w:sdt>
  <w:p w:rsidR="00627596" w:rsidRDefault="0062759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3" w:rsidRDefault="00B54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92" w:rsidRDefault="00176292" w:rsidP="00627596">
      <w:r>
        <w:separator/>
      </w:r>
    </w:p>
  </w:footnote>
  <w:footnote w:type="continuationSeparator" w:id="1">
    <w:p w:rsidR="00176292" w:rsidRDefault="00176292" w:rsidP="00627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3" w:rsidRDefault="00B54D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96" w:rsidRDefault="00627596" w:rsidP="00B54D5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627596" w:rsidRDefault="00402537">
        <w:pPr>
          <w:pStyle w:val="a6"/>
        </w:pPr>
        <w:r>
          <w:rPr>
            <w:lang w:val="zh-CN"/>
          </w:rPr>
          <w:t>[</w:t>
        </w:r>
        <w:r>
          <w:rPr>
            <w:lang w:val="zh-CN"/>
          </w:rPr>
          <w:t>键入文字</w:t>
        </w:r>
        <w:r>
          <w:rPr>
            <w:lang w:val="zh-CN"/>
          </w:rPr>
          <w:t>]</w:t>
        </w:r>
      </w:p>
    </w:sdtContent>
  </w:sdt>
  <w:p w:rsidR="00627596" w:rsidRDefault="00627596">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5AFA"/>
    <w:rsid w:val="000222C6"/>
    <w:rsid w:val="0002549F"/>
    <w:rsid w:val="000274C0"/>
    <w:rsid w:val="000468DB"/>
    <w:rsid w:val="00060156"/>
    <w:rsid w:val="00060AD2"/>
    <w:rsid w:val="0006487A"/>
    <w:rsid w:val="00065F8F"/>
    <w:rsid w:val="00070A43"/>
    <w:rsid w:val="000733AF"/>
    <w:rsid w:val="000768F2"/>
    <w:rsid w:val="00077227"/>
    <w:rsid w:val="0009184B"/>
    <w:rsid w:val="00094236"/>
    <w:rsid w:val="0009593C"/>
    <w:rsid w:val="00097322"/>
    <w:rsid w:val="000A6A92"/>
    <w:rsid w:val="000B047F"/>
    <w:rsid w:val="000B5923"/>
    <w:rsid w:val="000B5A48"/>
    <w:rsid w:val="000B6FF3"/>
    <w:rsid w:val="000C12BE"/>
    <w:rsid w:val="000C3467"/>
    <w:rsid w:val="000C3CA6"/>
    <w:rsid w:val="000C6483"/>
    <w:rsid w:val="000D1267"/>
    <w:rsid w:val="000D1D50"/>
    <w:rsid w:val="000D5782"/>
    <w:rsid w:val="000E6613"/>
    <w:rsid w:val="000E7119"/>
    <w:rsid w:val="00114E9B"/>
    <w:rsid w:val="00121DC7"/>
    <w:rsid w:val="0013679F"/>
    <w:rsid w:val="00142216"/>
    <w:rsid w:val="00143C8E"/>
    <w:rsid w:val="00144D6A"/>
    <w:rsid w:val="0014729F"/>
    <w:rsid w:val="001506CB"/>
    <w:rsid w:val="00157BAB"/>
    <w:rsid w:val="00164C0B"/>
    <w:rsid w:val="001654D1"/>
    <w:rsid w:val="00165FF3"/>
    <w:rsid w:val="00174518"/>
    <w:rsid w:val="00176292"/>
    <w:rsid w:val="0018106D"/>
    <w:rsid w:val="0018625D"/>
    <w:rsid w:val="001877A7"/>
    <w:rsid w:val="00191536"/>
    <w:rsid w:val="00196687"/>
    <w:rsid w:val="001B09DE"/>
    <w:rsid w:val="001B1E6D"/>
    <w:rsid w:val="001C0962"/>
    <w:rsid w:val="001D2DB6"/>
    <w:rsid w:val="001D7531"/>
    <w:rsid w:val="001E62A0"/>
    <w:rsid w:val="001E6426"/>
    <w:rsid w:val="001E737D"/>
    <w:rsid w:val="001F0592"/>
    <w:rsid w:val="001F7506"/>
    <w:rsid w:val="002006CD"/>
    <w:rsid w:val="00202B36"/>
    <w:rsid w:val="00204B7A"/>
    <w:rsid w:val="00204CDE"/>
    <w:rsid w:val="002051EE"/>
    <w:rsid w:val="0021101A"/>
    <w:rsid w:val="0021635B"/>
    <w:rsid w:val="00220536"/>
    <w:rsid w:val="00230035"/>
    <w:rsid w:val="00235629"/>
    <w:rsid w:val="00260C38"/>
    <w:rsid w:val="002616C0"/>
    <w:rsid w:val="00265372"/>
    <w:rsid w:val="002662AA"/>
    <w:rsid w:val="00280496"/>
    <w:rsid w:val="00287655"/>
    <w:rsid w:val="00294DC9"/>
    <w:rsid w:val="00295495"/>
    <w:rsid w:val="002A31DE"/>
    <w:rsid w:val="002B2613"/>
    <w:rsid w:val="002D1831"/>
    <w:rsid w:val="002D19B0"/>
    <w:rsid w:val="002D3AE9"/>
    <w:rsid w:val="002D6D05"/>
    <w:rsid w:val="002F1818"/>
    <w:rsid w:val="002F567B"/>
    <w:rsid w:val="002F6294"/>
    <w:rsid w:val="002F7A89"/>
    <w:rsid w:val="003216A9"/>
    <w:rsid w:val="00333502"/>
    <w:rsid w:val="00335A74"/>
    <w:rsid w:val="0036561B"/>
    <w:rsid w:val="0037013F"/>
    <w:rsid w:val="00375C11"/>
    <w:rsid w:val="00380C92"/>
    <w:rsid w:val="00392871"/>
    <w:rsid w:val="00395BF4"/>
    <w:rsid w:val="003A02C9"/>
    <w:rsid w:val="003A484F"/>
    <w:rsid w:val="003A4883"/>
    <w:rsid w:val="003B0BE0"/>
    <w:rsid w:val="003B0C1B"/>
    <w:rsid w:val="003B688C"/>
    <w:rsid w:val="003C0291"/>
    <w:rsid w:val="003C39AE"/>
    <w:rsid w:val="003C4332"/>
    <w:rsid w:val="003C7B60"/>
    <w:rsid w:val="003D0C0F"/>
    <w:rsid w:val="003D1FB2"/>
    <w:rsid w:val="003D66DA"/>
    <w:rsid w:val="003E1310"/>
    <w:rsid w:val="003E6F55"/>
    <w:rsid w:val="00402537"/>
    <w:rsid w:val="00406254"/>
    <w:rsid w:val="00416CD4"/>
    <w:rsid w:val="004223DE"/>
    <w:rsid w:val="00434489"/>
    <w:rsid w:val="00437085"/>
    <w:rsid w:val="00443880"/>
    <w:rsid w:val="004464F4"/>
    <w:rsid w:val="0045636D"/>
    <w:rsid w:val="00457BCB"/>
    <w:rsid w:val="00471401"/>
    <w:rsid w:val="00473F31"/>
    <w:rsid w:val="004746D3"/>
    <w:rsid w:val="0048263A"/>
    <w:rsid w:val="00487E5D"/>
    <w:rsid w:val="004A4198"/>
    <w:rsid w:val="004A711F"/>
    <w:rsid w:val="004B1617"/>
    <w:rsid w:val="004B199D"/>
    <w:rsid w:val="004B4690"/>
    <w:rsid w:val="004C1109"/>
    <w:rsid w:val="004C6D23"/>
    <w:rsid w:val="004E0A2D"/>
    <w:rsid w:val="004E206B"/>
    <w:rsid w:val="004E6DF7"/>
    <w:rsid w:val="004F0FBD"/>
    <w:rsid w:val="004F403E"/>
    <w:rsid w:val="004F5909"/>
    <w:rsid w:val="00505A47"/>
    <w:rsid w:val="00512FDA"/>
    <w:rsid w:val="00516935"/>
    <w:rsid w:val="00520DA0"/>
    <w:rsid w:val="00543A1B"/>
    <w:rsid w:val="005448AE"/>
    <w:rsid w:val="005664BB"/>
    <w:rsid w:val="00566FFA"/>
    <w:rsid w:val="0057481D"/>
    <w:rsid w:val="00575F0B"/>
    <w:rsid w:val="0058486E"/>
    <w:rsid w:val="00585B33"/>
    <w:rsid w:val="0059014D"/>
    <w:rsid w:val="005B5C64"/>
    <w:rsid w:val="005C6BD0"/>
    <w:rsid w:val="005C6C4C"/>
    <w:rsid w:val="005D1C8B"/>
    <w:rsid w:val="005D468D"/>
    <w:rsid w:val="005D5CED"/>
    <w:rsid w:val="005F1A4C"/>
    <w:rsid w:val="005F7244"/>
    <w:rsid w:val="00605688"/>
    <w:rsid w:val="006070AF"/>
    <w:rsid w:val="00607E6C"/>
    <w:rsid w:val="006101B1"/>
    <w:rsid w:val="00614E44"/>
    <w:rsid w:val="0062270A"/>
    <w:rsid w:val="00622830"/>
    <w:rsid w:val="00623DA0"/>
    <w:rsid w:val="00627596"/>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4B7F"/>
    <w:rsid w:val="006F020C"/>
    <w:rsid w:val="006F58D6"/>
    <w:rsid w:val="007127B7"/>
    <w:rsid w:val="0071798E"/>
    <w:rsid w:val="00720100"/>
    <w:rsid w:val="00721CE1"/>
    <w:rsid w:val="00727533"/>
    <w:rsid w:val="007416B6"/>
    <w:rsid w:val="007456EA"/>
    <w:rsid w:val="00746F48"/>
    <w:rsid w:val="007520D1"/>
    <w:rsid w:val="0075404D"/>
    <w:rsid w:val="0076182A"/>
    <w:rsid w:val="00767B7E"/>
    <w:rsid w:val="007770C3"/>
    <w:rsid w:val="00784D24"/>
    <w:rsid w:val="00785FBA"/>
    <w:rsid w:val="00786E4A"/>
    <w:rsid w:val="007875EB"/>
    <w:rsid w:val="0079426B"/>
    <w:rsid w:val="007C21BA"/>
    <w:rsid w:val="007D1682"/>
    <w:rsid w:val="007D312A"/>
    <w:rsid w:val="007D3CB5"/>
    <w:rsid w:val="007D3F19"/>
    <w:rsid w:val="007E23B0"/>
    <w:rsid w:val="007F1991"/>
    <w:rsid w:val="007F2C2F"/>
    <w:rsid w:val="007F55FC"/>
    <w:rsid w:val="007F5665"/>
    <w:rsid w:val="007F568D"/>
    <w:rsid w:val="00800112"/>
    <w:rsid w:val="00805283"/>
    <w:rsid w:val="00813348"/>
    <w:rsid w:val="00817297"/>
    <w:rsid w:val="008253BB"/>
    <w:rsid w:val="0083255F"/>
    <w:rsid w:val="00832AFA"/>
    <w:rsid w:val="00833962"/>
    <w:rsid w:val="0083706E"/>
    <w:rsid w:val="008408F6"/>
    <w:rsid w:val="008423A5"/>
    <w:rsid w:val="00842A89"/>
    <w:rsid w:val="00850625"/>
    <w:rsid w:val="00852053"/>
    <w:rsid w:val="00853718"/>
    <w:rsid w:val="00855221"/>
    <w:rsid w:val="00860645"/>
    <w:rsid w:val="00871F71"/>
    <w:rsid w:val="00872FD8"/>
    <w:rsid w:val="00885AF4"/>
    <w:rsid w:val="008939CD"/>
    <w:rsid w:val="008B3BF8"/>
    <w:rsid w:val="008B768C"/>
    <w:rsid w:val="008C4DB1"/>
    <w:rsid w:val="008C4EAF"/>
    <w:rsid w:val="008C5176"/>
    <w:rsid w:val="008C7FD0"/>
    <w:rsid w:val="008D2FAF"/>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570"/>
    <w:rsid w:val="00963F8D"/>
    <w:rsid w:val="0097099F"/>
    <w:rsid w:val="00971997"/>
    <w:rsid w:val="00971FFC"/>
    <w:rsid w:val="0097448D"/>
    <w:rsid w:val="0098660A"/>
    <w:rsid w:val="009931C3"/>
    <w:rsid w:val="009B2C43"/>
    <w:rsid w:val="009B4EAE"/>
    <w:rsid w:val="009B7573"/>
    <w:rsid w:val="009C22F4"/>
    <w:rsid w:val="009C2E98"/>
    <w:rsid w:val="009C37FB"/>
    <w:rsid w:val="009C5884"/>
    <w:rsid w:val="009D3447"/>
    <w:rsid w:val="009D4711"/>
    <w:rsid w:val="009F1185"/>
    <w:rsid w:val="009F18CD"/>
    <w:rsid w:val="009F2A13"/>
    <w:rsid w:val="009F7527"/>
    <w:rsid w:val="00A039ED"/>
    <w:rsid w:val="00A04EB0"/>
    <w:rsid w:val="00A13CC1"/>
    <w:rsid w:val="00A16847"/>
    <w:rsid w:val="00A2171E"/>
    <w:rsid w:val="00A237D8"/>
    <w:rsid w:val="00A268C4"/>
    <w:rsid w:val="00A307CD"/>
    <w:rsid w:val="00A331C8"/>
    <w:rsid w:val="00A35117"/>
    <w:rsid w:val="00A376CD"/>
    <w:rsid w:val="00A40A00"/>
    <w:rsid w:val="00A4142F"/>
    <w:rsid w:val="00A422EB"/>
    <w:rsid w:val="00A45BB7"/>
    <w:rsid w:val="00A52635"/>
    <w:rsid w:val="00A56DF2"/>
    <w:rsid w:val="00A56E6E"/>
    <w:rsid w:val="00A66B1E"/>
    <w:rsid w:val="00A67AB5"/>
    <w:rsid w:val="00A733B2"/>
    <w:rsid w:val="00A741C2"/>
    <w:rsid w:val="00A91760"/>
    <w:rsid w:val="00A9203F"/>
    <w:rsid w:val="00A93B00"/>
    <w:rsid w:val="00A93C21"/>
    <w:rsid w:val="00AA5175"/>
    <w:rsid w:val="00AB1ECE"/>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236C7"/>
    <w:rsid w:val="00B23A02"/>
    <w:rsid w:val="00B310B9"/>
    <w:rsid w:val="00B35F3F"/>
    <w:rsid w:val="00B36CBB"/>
    <w:rsid w:val="00B425E0"/>
    <w:rsid w:val="00B440AA"/>
    <w:rsid w:val="00B44B70"/>
    <w:rsid w:val="00B458E2"/>
    <w:rsid w:val="00B53C56"/>
    <w:rsid w:val="00B5455C"/>
    <w:rsid w:val="00B54D53"/>
    <w:rsid w:val="00B57DAF"/>
    <w:rsid w:val="00B77EA6"/>
    <w:rsid w:val="00B81598"/>
    <w:rsid w:val="00B841F1"/>
    <w:rsid w:val="00B944D6"/>
    <w:rsid w:val="00BA23D4"/>
    <w:rsid w:val="00BB4DF0"/>
    <w:rsid w:val="00BC289F"/>
    <w:rsid w:val="00BC2D50"/>
    <w:rsid w:val="00BC5361"/>
    <w:rsid w:val="00BC5460"/>
    <w:rsid w:val="00BC6B50"/>
    <w:rsid w:val="00BD0E25"/>
    <w:rsid w:val="00BF030D"/>
    <w:rsid w:val="00BF5B4E"/>
    <w:rsid w:val="00BF5BD6"/>
    <w:rsid w:val="00BF7B85"/>
    <w:rsid w:val="00C03E31"/>
    <w:rsid w:val="00C30E69"/>
    <w:rsid w:val="00C33E72"/>
    <w:rsid w:val="00C354B2"/>
    <w:rsid w:val="00C35554"/>
    <w:rsid w:val="00C42709"/>
    <w:rsid w:val="00C533CC"/>
    <w:rsid w:val="00C5751C"/>
    <w:rsid w:val="00C61BFC"/>
    <w:rsid w:val="00C62B85"/>
    <w:rsid w:val="00C65438"/>
    <w:rsid w:val="00C83F4D"/>
    <w:rsid w:val="00C91CBB"/>
    <w:rsid w:val="00CA5AEC"/>
    <w:rsid w:val="00CB4E70"/>
    <w:rsid w:val="00CC09B6"/>
    <w:rsid w:val="00CC666F"/>
    <w:rsid w:val="00CD1E3F"/>
    <w:rsid w:val="00CD6079"/>
    <w:rsid w:val="00CE44F6"/>
    <w:rsid w:val="00CE49DA"/>
    <w:rsid w:val="00CE6A71"/>
    <w:rsid w:val="00CE7B61"/>
    <w:rsid w:val="00D00095"/>
    <w:rsid w:val="00D114F0"/>
    <w:rsid w:val="00D20620"/>
    <w:rsid w:val="00D254F7"/>
    <w:rsid w:val="00D26091"/>
    <w:rsid w:val="00D2685C"/>
    <w:rsid w:val="00D30065"/>
    <w:rsid w:val="00D34E7C"/>
    <w:rsid w:val="00D35489"/>
    <w:rsid w:val="00D36AFE"/>
    <w:rsid w:val="00D51276"/>
    <w:rsid w:val="00D7035F"/>
    <w:rsid w:val="00DA634F"/>
    <w:rsid w:val="00DA65AC"/>
    <w:rsid w:val="00DB1913"/>
    <w:rsid w:val="00DB558C"/>
    <w:rsid w:val="00DC410D"/>
    <w:rsid w:val="00DC5A81"/>
    <w:rsid w:val="00DC68CA"/>
    <w:rsid w:val="00DC7CBA"/>
    <w:rsid w:val="00DD73B7"/>
    <w:rsid w:val="00DD7C21"/>
    <w:rsid w:val="00DF28BC"/>
    <w:rsid w:val="00DF34B9"/>
    <w:rsid w:val="00E01053"/>
    <w:rsid w:val="00E07ACF"/>
    <w:rsid w:val="00E32545"/>
    <w:rsid w:val="00E331A1"/>
    <w:rsid w:val="00E33202"/>
    <w:rsid w:val="00E336A9"/>
    <w:rsid w:val="00E43DA4"/>
    <w:rsid w:val="00E472B1"/>
    <w:rsid w:val="00E50624"/>
    <w:rsid w:val="00E568DF"/>
    <w:rsid w:val="00E64269"/>
    <w:rsid w:val="00E66797"/>
    <w:rsid w:val="00E82267"/>
    <w:rsid w:val="00E853CE"/>
    <w:rsid w:val="00E867B6"/>
    <w:rsid w:val="00E87F08"/>
    <w:rsid w:val="00EA010F"/>
    <w:rsid w:val="00EB3326"/>
    <w:rsid w:val="00EC6F71"/>
    <w:rsid w:val="00ED0452"/>
    <w:rsid w:val="00ED1B63"/>
    <w:rsid w:val="00ED3C1F"/>
    <w:rsid w:val="00ED4085"/>
    <w:rsid w:val="00ED420E"/>
    <w:rsid w:val="00ED6FBE"/>
    <w:rsid w:val="00EE2F57"/>
    <w:rsid w:val="00EF4C34"/>
    <w:rsid w:val="00EF77C6"/>
    <w:rsid w:val="00F05438"/>
    <w:rsid w:val="00F10531"/>
    <w:rsid w:val="00F1361C"/>
    <w:rsid w:val="00F156F0"/>
    <w:rsid w:val="00F160C7"/>
    <w:rsid w:val="00F2408F"/>
    <w:rsid w:val="00F240E9"/>
    <w:rsid w:val="00F36D8F"/>
    <w:rsid w:val="00F4088B"/>
    <w:rsid w:val="00F417B1"/>
    <w:rsid w:val="00F45853"/>
    <w:rsid w:val="00F602DF"/>
    <w:rsid w:val="00F754A1"/>
    <w:rsid w:val="00F81FD9"/>
    <w:rsid w:val="00F841AA"/>
    <w:rsid w:val="00F84A94"/>
    <w:rsid w:val="00F87E96"/>
    <w:rsid w:val="00FA23E8"/>
    <w:rsid w:val="00FA44C9"/>
    <w:rsid w:val="00FA7EDC"/>
    <w:rsid w:val="00FD3CC1"/>
    <w:rsid w:val="00FE2752"/>
    <w:rsid w:val="00FF1E02"/>
    <w:rsid w:val="00FF2127"/>
    <w:rsid w:val="00FF30B4"/>
    <w:rsid w:val="01BE3C61"/>
    <w:rsid w:val="0A7554D6"/>
    <w:rsid w:val="0B0B00C8"/>
    <w:rsid w:val="0EAE6AC3"/>
    <w:rsid w:val="10C055FF"/>
    <w:rsid w:val="16BB723D"/>
    <w:rsid w:val="170C39AB"/>
    <w:rsid w:val="1F7555B8"/>
    <w:rsid w:val="240371BF"/>
    <w:rsid w:val="29FD04D3"/>
    <w:rsid w:val="319F7F4E"/>
    <w:rsid w:val="3450704D"/>
    <w:rsid w:val="435731DC"/>
    <w:rsid w:val="448D12E3"/>
    <w:rsid w:val="4ACC2E30"/>
    <w:rsid w:val="4ECE2238"/>
    <w:rsid w:val="53CD67EC"/>
    <w:rsid w:val="58E46C0C"/>
    <w:rsid w:val="5B8B6B73"/>
    <w:rsid w:val="67922AEC"/>
    <w:rsid w:val="69280A0E"/>
    <w:rsid w:val="6A086A66"/>
    <w:rsid w:val="6E7F3442"/>
    <w:rsid w:val="6F315A94"/>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96"/>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2759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75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75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27596"/>
    <w:pPr>
      <w:spacing w:beforeLines="30"/>
    </w:pPr>
    <w:rPr>
      <w:rFonts w:ascii="仿宋_GB2312" w:eastAsia="仿宋_GB2312"/>
      <w:kern w:val="0"/>
      <w:sz w:val="30"/>
    </w:rPr>
  </w:style>
  <w:style w:type="paragraph" w:styleId="30">
    <w:name w:val="toc 3"/>
    <w:basedOn w:val="a"/>
    <w:next w:val="a"/>
    <w:uiPriority w:val="39"/>
    <w:unhideWhenUsed/>
    <w:qFormat/>
    <w:rsid w:val="00627596"/>
    <w:pPr>
      <w:tabs>
        <w:tab w:val="right" w:leader="dot" w:pos="8296"/>
      </w:tabs>
      <w:ind w:leftChars="400" w:left="840"/>
    </w:pPr>
  </w:style>
  <w:style w:type="paragraph" w:styleId="a4">
    <w:name w:val="Balloon Text"/>
    <w:basedOn w:val="a"/>
    <w:link w:val="Char0"/>
    <w:uiPriority w:val="99"/>
    <w:semiHidden/>
    <w:unhideWhenUsed/>
    <w:qFormat/>
    <w:rsid w:val="00627596"/>
    <w:rPr>
      <w:sz w:val="18"/>
      <w:szCs w:val="18"/>
    </w:rPr>
  </w:style>
  <w:style w:type="paragraph" w:styleId="a5">
    <w:name w:val="footer"/>
    <w:basedOn w:val="a"/>
    <w:link w:val="Char1"/>
    <w:uiPriority w:val="99"/>
    <w:qFormat/>
    <w:rsid w:val="00627596"/>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62759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2759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27596"/>
    <w:pPr>
      <w:tabs>
        <w:tab w:val="right" w:leader="dot" w:pos="8296"/>
      </w:tabs>
      <w:ind w:leftChars="200" w:left="420"/>
    </w:pPr>
  </w:style>
  <w:style w:type="paragraph" w:styleId="a7">
    <w:name w:val="Normal (Web)"/>
    <w:basedOn w:val="a"/>
    <w:uiPriority w:val="99"/>
    <w:qFormat/>
    <w:rsid w:val="00627596"/>
    <w:rPr>
      <w:rFonts w:ascii="Calibri" w:hAnsi="Calibri"/>
      <w:sz w:val="24"/>
    </w:rPr>
  </w:style>
  <w:style w:type="character" w:styleId="a8">
    <w:name w:val="Strong"/>
    <w:basedOn w:val="a0"/>
    <w:uiPriority w:val="99"/>
    <w:qFormat/>
    <w:rsid w:val="00627596"/>
    <w:rPr>
      <w:b/>
    </w:rPr>
  </w:style>
  <w:style w:type="character" w:styleId="a9">
    <w:name w:val="Hyperlink"/>
    <w:basedOn w:val="a0"/>
    <w:uiPriority w:val="99"/>
    <w:unhideWhenUsed/>
    <w:qFormat/>
    <w:rsid w:val="00627596"/>
    <w:rPr>
      <w:color w:val="0000FF" w:themeColor="hyperlink"/>
      <w:u w:val="single"/>
    </w:rPr>
  </w:style>
  <w:style w:type="character" w:customStyle="1" w:styleId="HeaderChar">
    <w:name w:val="Header Char"/>
    <w:basedOn w:val="a0"/>
    <w:uiPriority w:val="99"/>
    <w:semiHidden/>
    <w:qFormat/>
    <w:rsid w:val="00627596"/>
    <w:rPr>
      <w:rFonts w:ascii="Times New Roman" w:hAnsi="Times New Roman"/>
      <w:sz w:val="18"/>
      <w:szCs w:val="18"/>
    </w:rPr>
  </w:style>
  <w:style w:type="character" w:customStyle="1" w:styleId="Char2">
    <w:name w:val="页眉 Char"/>
    <w:link w:val="a6"/>
    <w:uiPriority w:val="99"/>
    <w:qFormat/>
    <w:locked/>
    <w:rsid w:val="00627596"/>
    <w:rPr>
      <w:sz w:val="18"/>
    </w:rPr>
  </w:style>
  <w:style w:type="character" w:customStyle="1" w:styleId="FooterChar">
    <w:name w:val="Footer Char"/>
    <w:basedOn w:val="a0"/>
    <w:uiPriority w:val="99"/>
    <w:semiHidden/>
    <w:qFormat/>
    <w:rsid w:val="00627596"/>
    <w:rPr>
      <w:rFonts w:ascii="Times New Roman" w:hAnsi="Times New Roman"/>
      <w:sz w:val="18"/>
      <w:szCs w:val="18"/>
    </w:rPr>
  </w:style>
  <w:style w:type="character" w:customStyle="1" w:styleId="Char1">
    <w:name w:val="页脚 Char"/>
    <w:link w:val="a5"/>
    <w:uiPriority w:val="99"/>
    <w:qFormat/>
    <w:locked/>
    <w:rsid w:val="00627596"/>
    <w:rPr>
      <w:sz w:val="18"/>
    </w:rPr>
  </w:style>
  <w:style w:type="character" w:customStyle="1" w:styleId="BodyTextChar">
    <w:name w:val="Body Text Char"/>
    <w:basedOn w:val="a0"/>
    <w:uiPriority w:val="99"/>
    <w:semiHidden/>
    <w:qFormat/>
    <w:rsid w:val="00627596"/>
    <w:rPr>
      <w:rFonts w:ascii="Times New Roman" w:hAnsi="Times New Roman"/>
      <w:szCs w:val="24"/>
    </w:rPr>
  </w:style>
  <w:style w:type="character" w:customStyle="1" w:styleId="Char">
    <w:name w:val="正文文本 Char"/>
    <w:link w:val="a3"/>
    <w:uiPriority w:val="99"/>
    <w:qFormat/>
    <w:locked/>
    <w:rsid w:val="00627596"/>
    <w:rPr>
      <w:rFonts w:ascii="仿宋_GB2312" w:eastAsia="仿宋_GB2312" w:hAnsi="Times New Roman"/>
      <w:sz w:val="24"/>
    </w:rPr>
  </w:style>
  <w:style w:type="paragraph" w:customStyle="1" w:styleId="Default">
    <w:name w:val="Default"/>
    <w:uiPriority w:val="99"/>
    <w:qFormat/>
    <w:rsid w:val="00627596"/>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rsid w:val="00627596"/>
    <w:pPr>
      <w:ind w:firstLineChars="200" w:firstLine="420"/>
    </w:pPr>
  </w:style>
  <w:style w:type="character" w:customStyle="1" w:styleId="1Char">
    <w:name w:val="标题 1 Char"/>
    <w:basedOn w:val="a0"/>
    <w:link w:val="1"/>
    <w:uiPriority w:val="9"/>
    <w:qFormat/>
    <w:rsid w:val="00627596"/>
    <w:rPr>
      <w:rFonts w:ascii="Times New Roman" w:hAnsi="Times New Roman"/>
      <w:b/>
      <w:bCs/>
      <w:kern w:val="44"/>
      <w:sz w:val="44"/>
      <w:szCs w:val="44"/>
    </w:rPr>
  </w:style>
  <w:style w:type="character" w:customStyle="1" w:styleId="2Char">
    <w:name w:val="标题 2 Char"/>
    <w:basedOn w:val="a0"/>
    <w:link w:val="2"/>
    <w:uiPriority w:val="9"/>
    <w:qFormat/>
    <w:rsid w:val="00627596"/>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2759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627596"/>
    <w:rPr>
      <w:rFonts w:ascii="Times New Roman" w:hAnsi="Times New Roman"/>
      <w:kern w:val="2"/>
      <w:sz w:val="18"/>
      <w:szCs w:val="18"/>
    </w:rPr>
  </w:style>
  <w:style w:type="character" w:customStyle="1" w:styleId="3Char">
    <w:name w:val="标题 3 Char"/>
    <w:basedOn w:val="a0"/>
    <w:link w:val="3"/>
    <w:uiPriority w:val="9"/>
    <w:qFormat/>
    <w:rsid w:val="00627596"/>
    <w:rPr>
      <w:rFonts w:ascii="Times New Roman" w:hAnsi="Times New Roman"/>
      <w:b/>
      <w:bCs/>
      <w:kern w:val="2"/>
      <w:sz w:val="32"/>
      <w:szCs w:val="32"/>
    </w:rPr>
  </w:style>
  <w:style w:type="paragraph" w:customStyle="1" w:styleId="TOC2">
    <w:name w:val="TOC 标题2"/>
    <w:basedOn w:val="1"/>
    <w:next w:val="a"/>
    <w:uiPriority w:val="39"/>
    <w:unhideWhenUsed/>
    <w:qFormat/>
    <w:rsid w:val="0062759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四号正文 Char"/>
    <w:basedOn w:val="a0"/>
    <w:link w:val="ab"/>
    <w:qFormat/>
    <w:rsid w:val="00627596"/>
    <w:rPr>
      <w:rFonts w:ascii="??" w:hAnsi="??" w:cs="宋体"/>
      <w:color w:val="000000"/>
      <w:sz w:val="28"/>
      <w:szCs w:val="21"/>
    </w:rPr>
  </w:style>
  <w:style w:type="paragraph" w:customStyle="1" w:styleId="ab">
    <w:name w:val="四号正文"/>
    <w:basedOn w:val="a"/>
    <w:link w:val="Char3"/>
    <w:qFormat/>
    <w:rsid w:val="00627596"/>
    <w:pPr>
      <w:spacing w:line="360" w:lineRule="auto"/>
    </w:pPr>
    <w:rPr>
      <w:rFonts w:ascii="??" w:hAnsi="??" w:cs="宋体"/>
      <w:color w:val="000000"/>
      <w:kern w:val="0"/>
      <w:sz w:val="2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收、支决算总计变动表</a:t>
            </a:r>
          </a:p>
        </c:rich>
      </c:tx>
    </c:title>
    <c:plotArea>
      <c:layout>
        <c:manualLayout>
          <c:layoutTarget val="inner"/>
          <c:xMode val="edge"/>
          <c:yMode val="edge"/>
          <c:x val="3.6049026676279974E-2"/>
          <c:y val="0.23580803252631827"/>
          <c:w val="0.94712809420812594"/>
          <c:h val="0.63153463407892263"/>
        </c:manualLayout>
      </c:layout>
      <c:barChart>
        <c:barDir val="col"/>
        <c:grouping val="clustered"/>
        <c:ser>
          <c:idx val="0"/>
          <c:order val="0"/>
          <c:tx>
            <c:strRef>
              <c:f>各项收入占总收入的比重!$B$43</c:f>
              <c:strCache>
                <c:ptCount val="1"/>
                <c:pt idx="0">
                  <c:v>2018</c:v>
                </c:pt>
              </c:strCache>
            </c:strRef>
          </c:tx>
          <c:dLbls>
            <c:dLbl>
              <c:idx val="0"/>
              <c:tx>
                <c:rich>
                  <a:bodyPr/>
                  <a:lstStyle/>
                  <a:p>
                    <a:r>
                      <a:t>2984.</a:t>
                    </a:r>
                    <a:r>
                      <a:rPr lang="en-US" altLang="zh-CN">
                        <a:solidFill>
                          <a:sysClr val="windowText" lastClr="000000"/>
                        </a:solidFill>
                      </a:rPr>
                      <a:t>9</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各项收入占总收入的比重!$A$44:$A$46</c:f>
              <c:strCache>
                <c:ptCount val="2"/>
                <c:pt idx="0">
                  <c:v>收入</c:v>
                </c:pt>
                <c:pt idx="1">
                  <c:v>支出</c:v>
                </c:pt>
              </c:strCache>
            </c:strRef>
          </c:cat>
          <c:val>
            <c:numRef>
              <c:f>各项收入占总收入的比重!$B$44:$B$46</c:f>
              <c:numCache>
                <c:formatCode>General</c:formatCode>
                <c:ptCount val="3"/>
                <c:pt idx="0">
                  <c:v>2984.8900000000012</c:v>
                </c:pt>
                <c:pt idx="1">
                  <c:v>2977.55</c:v>
                </c:pt>
              </c:numCache>
            </c:numRef>
          </c:val>
        </c:ser>
        <c:ser>
          <c:idx val="1"/>
          <c:order val="1"/>
          <c:tx>
            <c:strRef>
              <c:f>各项收入占总收入的比重!$C$43</c:f>
              <c:strCache>
                <c:ptCount val="1"/>
                <c:pt idx="0">
                  <c:v>2019</c:v>
                </c:pt>
              </c:strCache>
            </c:strRef>
          </c:tx>
          <c:dLbls>
            <c:dLbl>
              <c:idx val="1"/>
              <c:tx>
                <c:rich>
                  <a:bodyPr/>
                  <a:lstStyle/>
                  <a:p>
                    <a:r>
                      <a:rPr lang="en-US" altLang="en-US"/>
                      <a:t>3,123.76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各项收入占总收入的比重!$A$44:$A$46</c:f>
              <c:strCache>
                <c:ptCount val="2"/>
                <c:pt idx="0">
                  <c:v>收入</c:v>
                </c:pt>
                <c:pt idx="1">
                  <c:v>支出</c:v>
                </c:pt>
              </c:strCache>
            </c:strRef>
          </c:cat>
          <c:val>
            <c:numRef>
              <c:f>各项收入占总收入的比重!$C$44:$C$46</c:f>
              <c:numCache>
                <c:formatCode>#,##0.00_ </c:formatCode>
                <c:ptCount val="3"/>
                <c:pt idx="0">
                  <c:v>3125.3900000000012</c:v>
                </c:pt>
                <c:pt idx="1">
                  <c:v>3120.2</c:v>
                </c:pt>
              </c:numCache>
            </c:numRef>
          </c:val>
        </c:ser>
        <c:dLbls>
          <c:showVal val="1"/>
        </c:dLbls>
        <c:overlap val="-25"/>
        <c:axId val="93188480"/>
        <c:axId val="93190784"/>
      </c:barChart>
      <c:catAx>
        <c:axId val="93188480"/>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3190784"/>
        <c:crosses val="autoZero"/>
        <c:auto val="1"/>
        <c:lblAlgn val="ctr"/>
        <c:lblOffset val="100"/>
      </c:catAx>
      <c:valAx>
        <c:axId val="93190784"/>
        <c:scaling>
          <c:orientation val="minMax"/>
        </c:scaling>
        <c:delete val="1"/>
        <c:axPos val="l"/>
        <c:numFmt formatCode="General" sourceLinked="1"/>
        <c:tickLblPos val="nextTo"/>
        <c:crossAx val="93188480"/>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800" b="1" i="0" u="none" strike="noStrike" baseline="0"/>
              <a:t>2019</a:t>
            </a:r>
            <a:r>
              <a:rPr lang="zh-CN" altLang="en-US" sz="1800" b="1" i="0" u="none" strike="noStrike" baseline="0"/>
              <a:t>年收入决算结构图</a:t>
            </a:r>
            <a:endParaRPr lang="zh-CN" altLang="en-US"/>
          </a:p>
        </c:rich>
      </c:tx>
    </c:title>
    <c:plotArea>
      <c:layout>
        <c:manualLayout>
          <c:layoutTarget val="inner"/>
          <c:xMode val="edge"/>
          <c:yMode val="edge"/>
          <c:x val="9.4836994714584219E-2"/>
          <c:y val="0.28539144663278099"/>
          <c:w val="0.47972732683719299"/>
          <c:h val="0.71323309914097999"/>
        </c:manualLayout>
      </c:layout>
      <c:pieChart>
        <c:varyColors val="1"/>
        <c:ser>
          <c:idx val="0"/>
          <c:order val="0"/>
          <c:dLbls>
            <c:dLbl>
              <c:idx val="0"/>
              <c:layout>
                <c:manualLayout>
                  <c:x val="-1.7059112176652604E-2"/>
                  <c:y val="-5.6676685272649213E-2"/>
                </c:manualLayout>
              </c:layout>
              <c:tx>
                <c:rich>
                  <a:bodyPr/>
                  <a:lstStyle/>
                  <a:p>
                    <a:r>
                      <a:rPr lang="zh-CN" altLang="en-US"/>
                      <a:t>一般公共预算财政拨款收入</a:t>
                    </a:r>
                    <a:r>
                      <a:rPr lang="en-US" altLang="en-US"/>
                      <a:t>3060.98</a:t>
                    </a:r>
                    <a:r>
                      <a:rPr lang="zh-CN" altLang="en-US"/>
                      <a:t>万元 ，  占</a:t>
                    </a:r>
                    <a:r>
                      <a:rPr lang="en-US" altLang="en-US"/>
                      <a:t>97.94%</a:t>
                    </a:r>
                  </a:p>
                </c:rich>
              </c:tx>
              <c:dLblPos val="bestFit"/>
              <c:showPercent val="1"/>
              <c:extLst>
                <c:ext xmlns:c15="http://schemas.microsoft.com/office/drawing/2012/chart" uri="{CE6537A1-D6FC-4f65-9D91-7224C49458BB}">
                  <c15:layout/>
                </c:ext>
              </c:extLst>
            </c:dLbl>
            <c:dLbl>
              <c:idx val="1"/>
              <c:layout>
                <c:manualLayout>
                  <c:x val="-0.19530404766845597"/>
                  <c:y val="5.0720024612180732E-2"/>
                </c:manualLayout>
              </c:layout>
              <c:tx>
                <c:rich>
                  <a:bodyPr/>
                  <a:lstStyle/>
                  <a:p>
                    <a:r>
                      <a:rPr lang="zh-CN" altLang="en-US"/>
                      <a:t>政府性基金预算财政拨款收入</a:t>
                    </a:r>
                    <a:r>
                      <a:rPr lang="en-US" altLang="en-US"/>
                      <a:t>64.41</a:t>
                    </a:r>
                    <a:r>
                      <a:rPr lang="zh-CN" altLang="en-US"/>
                      <a:t>万元，占</a:t>
                    </a:r>
                    <a:r>
                      <a:rPr lang="en-US" altLang="en-US"/>
                      <a:t>2.06%</a:t>
                    </a:r>
                  </a:p>
                </c:rich>
              </c:tx>
              <c:dLblPos val="bestFit"/>
              <c:showPercent val="1"/>
              <c:extLst>
                <c:ext xmlns:c15="http://schemas.microsoft.com/office/drawing/2012/chart" uri="{CE6537A1-D6FC-4f65-9D91-7224C49458BB}">
                  <c15:layout/>
                </c:ext>
              </c:extLst>
            </c:dLbl>
            <c:dLbl>
              <c:idx val="2"/>
              <c:delete val="1"/>
            </c:dLbl>
            <c:dLbl>
              <c:idx val="3"/>
              <c:delete val="1"/>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Sheet1!$A$1:$A$7</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Sheet1!$B$1:$B$7</c:f>
              <c:numCache>
                <c:formatCode>General</c:formatCode>
                <c:ptCount val="7"/>
                <c:pt idx="0">
                  <c:v>3060.98</c:v>
                </c:pt>
                <c:pt idx="1">
                  <c:v>64.410000000000025</c:v>
                </c:pt>
                <c:pt idx="2">
                  <c:v>0</c:v>
                </c:pt>
                <c:pt idx="3">
                  <c:v>0</c:v>
                </c:pt>
                <c:pt idx="4">
                  <c:v>0</c:v>
                </c:pt>
                <c:pt idx="5">
                  <c:v>0</c:v>
                </c:pt>
                <c:pt idx="6">
                  <c:v>0</c:v>
                </c:pt>
              </c:numCache>
            </c:numRef>
          </c:val>
        </c:ser>
        <c:ser>
          <c:idx val="1"/>
          <c:order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Sheet1!$A$1:$A$7</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Sheet1!$C$1:$C$7</c:f>
              <c:numCache>
                <c:formatCode>0.00%</c:formatCode>
                <c:ptCount val="7"/>
                <c:pt idx="0">
                  <c:v>0.97940000000000005</c:v>
                </c:pt>
                <c:pt idx="1">
                  <c:v>2.0600000000000011E-2</c:v>
                </c:pt>
                <c:pt idx="2" formatCode="0%">
                  <c:v>0</c:v>
                </c:pt>
                <c:pt idx="3" formatCode="0%">
                  <c:v>0</c:v>
                </c:pt>
                <c:pt idx="4" formatCode="0%">
                  <c:v>0</c:v>
                </c:pt>
                <c:pt idx="5" formatCode="0%">
                  <c:v>0</c:v>
                </c:pt>
                <c:pt idx="6" formatCode="0%">
                  <c:v>0</c:v>
                </c:pt>
              </c:numCache>
            </c:numRef>
          </c:val>
        </c:ser>
        <c:dLbls>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800" b="1" i="0" u="none" strike="noStrike" baseline="0"/>
              <a:t>2019</a:t>
            </a:r>
            <a:r>
              <a:rPr lang="zh-CN" altLang="en-US" sz="1800" b="1" i="0" u="none" strike="noStrike" baseline="0"/>
              <a:t>年支出决算结构图</a:t>
            </a:r>
            <a:endParaRPr lang="zh-CN" altLang="en-US"/>
          </a:p>
        </c:rich>
      </c:tx>
    </c:title>
    <c:plotArea>
      <c:layout/>
      <c:pieChart>
        <c:varyColors val="1"/>
        <c:ser>
          <c:idx val="0"/>
          <c:order val="0"/>
          <c:dLbls>
            <c:dLbl>
              <c:idx val="0"/>
              <c:tx>
                <c:rich>
                  <a:bodyPr/>
                  <a:lstStyle/>
                  <a:p>
                    <a:r>
                      <a:rPr lang="zh-CN" altLang="en-US"/>
                      <a:t>基本支出</a:t>
                    </a:r>
                    <a:r>
                      <a:rPr lang="en-US" altLang="zh-CN"/>
                      <a:t>2430.76</a:t>
                    </a:r>
                    <a:r>
                      <a:rPr lang="zh-CN" altLang="en-US"/>
                      <a:t>万元 占</a:t>
                    </a:r>
                    <a:r>
                      <a:rPr lang="en-US" altLang="zh-CN"/>
                      <a:t>77.82%</a:t>
                    </a:r>
                  </a:p>
                </c:rich>
              </c:tx>
              <c:dLblPos val="bestFit"/>
              <c:showPercent val="1"/>
              <c:extLst>
                <c:ext xmlns:c15="http://schemas.microsoft.com/office/drawing/2012/chart" uri="{CE6537A1-D6FC-4f65-9D91-7224C49458BB}"/>
              </c:extLst>
            </c:dLbl>
            <c:dLbl>
              <c:idx val="1"/>
              <c:layout>
                <c:manualLayout>
                  <c:x val="-6.0147173439582806E-2"/>
                  <c:y val="6.5907726910428921E-3"/>
                </c:manualLayout>
              </c:layout>
              <c:tx>
                <c:rich>
                  <a:bodyPr/>
                  <a:lstStyle/>
                  <a:p>
                    <a:r>
                      <a:rPr lang="zh-CN" altLang="en-US"/>
                      <a:t>项目支出</a:t>
                    </a:r>
                    <a:r>
                      <a:rPr lang="en-US" altLang="zh-CN"/>
                      <a:t>693</a:t>
                    </a:r>
                    <a:r>
                      <a:rPr lang="zh-CN" altLang="en-US"/>
                      <a:t>万元</a:t>
                    </a:r>
                    <a:r>
                      <a:rPr lang="zh-CN" altLang="en-US" baseline="0"/>
                      <a:t>   占</a:t>
                    </a:r>
                    <a:r>
                      <a:rPr lang="en-US" altLang="zh-CN"/>
                      <a:t>22.18%</a:t>
                    </a:r>
                  </a:p>
                </c:rich>
              </c:tx>
              <c:dLblPos val="bestFit"/>
              <c:showPercent val="1"/>
              <c:extLst>
                <c:ext xmlns:c15="http://schemas.microsoft.com/office/drawing/2012/chart" uri="{CE6537A1-D6FC-4f65-9D91-7224C49458BB}">
                  <c15:layout/>
                </c:ext>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Sheet2!$A$1:$A$5</c:f>
              <c:strCache>
                <c:ptCount val="5"/>
                <c:pt idx="0">
                  <c:v>基本支出</c:v>
                </c:pt>
                <c:pt idx="1">
                  <c:v>项目支出</c:v>
                </c:pt>
                <c:pt idx="2">
                  <c:v>上缴上级支出</c:v>
                </c:pt>
                <c:pt idx="3">
                  <c:v>经营支出</c:v>
                </c:pt>
                <c:pt idx="4">
                  <c:v>对附属单位补助支出</c:v>
                </c:pt>
              </c:strCache>
            </c:strRef>
          </c:cat>
          <c:val>
            <c:numRef>
              <c:f>Sheet2!$B$1:$B$5</c:f>
              <c:numCache>
                <c:formatCode>General</c:formatCode>
                <c:ptCount val="5"/>
                <c:pt idx="0">
                  <c:v>2430.7599999999998</c:v>
                </c:pt>
                <c:pt idx="1">
                  <c:v>693</c:v>
                </c:pt>
                <c:pt idx="2">
                  <c:v>0</c:v>
                </c:pt>
                <c:pt idx="3">
                  <c:v>0</c:v>
                </c:pt>
                <c:pt idx="4">
                  <c:v>0</c:v>
                </c:pt>
              </c:numCache>
            </c:numRef>
          </c:val>
        </c:ser>
        <c:ser>
          <c:idx val="1"/>
          <c:order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Sheet2!$A$1:$A$5</c:f>
              <c:strCache>
                <c:ptCount val="5"/>
                <c:pt idx="0">
                  <c:v>基本支出</c:v>
                </c:pt>
                <c:pt idx="1">
                  <c:v>项目支出</c:v>
                </c:pt>
                <c:pt idx="2">
                  <c:v>上缴上级支出</c:v>
                </c:pt>
                <c:pt idx="3">
                  <c:v>经营支出</c:v>
                </c:pt>
                <c:pt idx="4">
                  <c:v>对附属单位补助支出</c:v>
                </c:pt>
              </c:strCache>
            </c:strRef>
          </c:cat>
          <c:val>
            <c:numRef>
              <c:f>Sheet2!$C$1:$C$5</c:f>
              <c:numCache>
                <c:formatCode>0.00%</c:formatCode>
                <c:ptCount val="5"/>
                <c:pt idx="0">
                  <c:v>0.77820000000000278</c:v>
                </c:pt>
                <c:pt idx="1">
                  <c:v>0.2218</c:v>
                </c:pt>
                <c:pt idx="2" formatCode="0%">
                  <c:v>0</c:v>
                </c:pt>
                <c:pt idx="3" formatCode="0%">
                  <c:v>0</c:v>
                </c:pt>
                <c:pt idx="4" formatCode="0%">
                  <c:v>0</c:v>
                </c:pt>
              </c:numCache>
            </c:numRef>
          </c:val>
        </c:ser>
        <c:dLbls>
          <c:showPercent val="1"/>
        </c:dLbls>
        <c:firstSliceAng val="0"/>
      </c:pieChart>
    </c:plotArea>
    <c:legend>
      <c:legendPos val="r"/>
      <c:layout>
        <c:manualLayout>
          <c:xMode val="edge"/>
          <c:yMode val="edge"/>
          <c:x val="0.75240803473970064"/>
          <c:y val="0.56243477734432601"/>
          <c:w val="0.24759196526030217"/>
          <c:h val="0.43447653497902167"/>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a:t>
            </a:r>
          </a:p>
        </c:rich>
      </c:tx>
    </c:title>
    <c:plotArea>
      <c:layout>
        <c:manualLayout>
          <c:layoutTarget val="inner"/>
          <c:xMode val="edge"/>
          <c:yMode val="edge"/>
          <c:x val="3.7480153688802351E-2"/>
          <c:y val="0.23689361240690501"/>
          <c:w val="0.92329739571535607"/>
          <c:h val="0.55738500417581205"/>
        </c:manualLayout>
      </c:layout>
      <c:barChart>
        <c:barDir val="col"/>
        <c:grouping val="clustered"/>
        <c:ser>
          <c:idx val="0"/>
          <c:order val="0"/>
          <c:tx>
            <c:strRef>
              <c:f>各项收入占总收入的比重!$B$43</c:f>
              <c:strCache>
                <c:ptCount val="1"/>
                <c:pt idx="0">
                  <c:v>2018</c:v>
                </c:pt>
              </c:strCache>
            </c:strRef>
          </c:tx>
          <c:dLbls>
            <c:dLbl>
              <c:idx val="0"/>
              <c:tx>
                <c:rich>
                  <a:bodyPr/>
                  <a:lstStyle/>
                  <a:p>
                    <a:r>
                      <a:t>2984.</a:t>
                    </a:r>
                    <a:r>
                      <a:rPr lang="en-US" altLang="zh-CN"/>
                      <a:t>90</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各项收入占总收入的比重!$A$44:$A$46</c:f>
              <c:strCache>
                <c:ptCount val="2"/>
                <c:pt idx="0">
                  <c:v>收入</c:v>
                </c:pt>
                <c:pt idx="1">
                  <c:v>支出</c:v>
                </c:pt>
              </c:strCache>
            </c:strRef>
          </c:cat>
          <c:val>
            <c:numRef>
              <c:f>各项收入占总收入的比重!$B$44:$B$46</c:f>
              <c:numCache>
                <c:formatCode>General</c:formatCode>
                <c:ptCount val="3"/>
                <c:pt idx="0">
                  <c:v>2984.8900000000012</c:v>
                </c:pt>
                <c:pt idx="1">
                  <c:v>2977.55</c:v>
                </c:pt>
              </c:numCache>
            </c:numRef>
          </c:val>
        </c:ser>
        <c:ser>
          <c:idx val="1"/>
          <c:order val="1"/>
          <c:tx>
            <c:strRef>
              <c:f>各项收入占总收入的比重!$C$43</c:f>
              <c:strCache>
                <c:ptCount val="1"/>
                <c:pt idx="0">
                  <c:v>2019</c:v>
                </c:pt>
              </c:strCache>
            </c:strRef>
          </c:tx>
          <c:dLbls>
            <c:dLbl>
              <c:idx val="1"/>
              <c:tx>
                <c:rich>
                  <a:bodyPr/>
                  <a:lstStyle/>
                  <a:p>
                    <a:r>
                      <a:rPr lang="en-US" altLang="en-US"/>
                      <a:t>3,123.76 </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各项收入占总收入的比重!$A$44:$A$46</c:f>
              <c:strCache>
                <c:ptCount val="2"/>
                <c:pt idx="0">
                  <c:v>收入</c:v>
                </c:pt>
                <c:pt idx="1">
                  <c:v>支出</c:v>
                </c:pt>
              </c:strCache>
            </c:strRef>
          </c:cat>
          <c:val>
            <c:numRef>
              <c:f>各项收入占总收入的比重!$C$44:$C$46</c:f>
              <c:numCache>
                <c:formatCode>#,##0.00_ </c:formatCode>
                <c:ptCount val="3"/>
                <c:pt idx="0">
                  <c:v>3125.3900000000012</c:v>
                </c:pt>
                <c:pt idx="1">
                  <c:v>3120.2</c:v>
                </c:pt>
              </c:numCache>
            </c:numRef>
          </c:val>
        </c:ser>
        <c:dLbls>
          <c:showVal val="1"/>
        </c:dLbls>
        <c:overlap val="-25"/>
        <c:axId val="100791424"/>
        <c:axId val="134912256"/>
      </c:barChart>
      <c:catAx>
        <c:axId val="100791424"/>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912256"/>
        <c:crosses val="autoZero"/>
        <c:auto val="1"/>
        <c:lblAlgn val="ctr"/>
        <c:lblOffset val="100"/>
      </c:catAx>
      <c:valAx>
        <c:axId val="134912256"/>
        <c:scaling>
          <c:orientation val="minMax"/>
        </c:scaling>
        <c:delete val="1"/>
        <c:axPos val="l"/>
        <c:numFmt formatCode="General" sourceLinked="1"/>
        <c:tickLblPos val="nextTo"/>
        <c:crossAx val="100791424"/>
        <c:crosses val="autoZero"/>
        <c:crossBetween val="between"/>
      </c:valAx>
    </c:plotArea>
    <c:legend>
      <c:legendPos val="t"/>
      <c:layout>
        <c:manualLayout>
          <c:xMode val="edge"/>
          <c:yMode val="edge"/>
          <c:x val="0.75399541642297374"/>
          <c:y val="0.34522896016152832"/>
          <c:w val="0.17898207176029027"/>
          <c:h val="6.5437582650733364E-2"/>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一般公共预算财政拨款支出决算变动情况 </a:t>
            </a:r>
          </a:p>
        </c:rich>
      </c:tx>
    </c:title>
    <c:plotArea>
      <c:layout/>
      <c:barChart>
        <c:barDir val="col"/>
        <c:grouping val="stack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Sheet3!$A$1:$A$2</c:f>
              <c:strCache>
                <c:ptCount val="2"/>
                <c:pt idx="0">
                  <c:v>2018年</c:v>
                </c:pt>
                <c:pt idx="1">
                  <c:v>2019年</c:v>
                </c:pt>
              </c:strCache>
            </c:strRef>
          </c:cat>
          <c:val>
            <c:numRef>
              <c:f>Sheet3!$B$1:$B$2</c:f>
              <c:numCache>
                <c:formatCode>General</c:formatCode>
                <c:ptCount val="2"/>
                <c:pt idx="0">
                  <c:v>2969.55</c:v>
                </c:pt>
                <c:pt idx="1">
                  <c:v>3059.3500000000022</c:v>
                </c:pt>
              </c:numCache>
            </c:numRef>
          </c:val>
        </c:ser>
        <c:dLbls>
          <c:showVal val="1"/>
        </c:dLbls>
        <c:gapWidth val="95"/>
        <c:overlap val="100"/>
        <c:axId val="184668544"/>
        <c:axId val="184671232"/>
      </c:barChart>
      <c:catAx>
        <c:axId val="18466854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4671232"/>
        <c:crosses val="autoZero"/>
        <c:auto val="1"/>
        <c:lblAlgn val="ctr"/>
        <c:lblOffset val="100"/>
      </c:catAx>
      <c:valAx>
        <c:axId val="184671232"/>
        <c:scaling>
          <c:orientation val="minMax"/>
        </c:scaling>
        <c:delete val="1"/>
        <c:axPos val="l"/>
        <c:numFmt formatCode="General" sourceLinked="1"/>
        <c:majorTickMark val="none"/>
        <c:tickLblPos val="nextTo"/>
        <c:crossAx val="184668544"/>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一般公共预算财政拨款支出决算结构</a:t>
            </a:r>
          </a:p>
        </c:rich>
      </c:tx>
    </c:title>
    <c:plotArea>
      <c:layout/>
      <c:pieChart>
        <c:varyColors val="1"/>
        <c:ser>
          <c:idx val="0"/>
          <c:order val="0"/>
          <c:dLbls>
            <c:dLbl>
              <c:idx val="0"/>
              <c:layout>
                <c:manualLayout>
                  <c:x val="3.3883259949556016E-2"/>
                  <c:y val="0.13776059583114317"/>
                </c:manualLayout>
              </c:layout>
              <c:tx>
                <c:rich>
                  <a:bodyPr/>
                  <a:lstStyle/>
                  <a:p>
                    <a:r>
                      <a:rPr lang="zh-CN" altLang="en-US"/>
                      <a:t>住房保障支出</a:t>
                    </a:r>
                    <a:r>
                      <a:rPr lang="en-US" altLang="zh-CN"/>
                      <a:t>150.55</a:t>
                    </a:r>
                    <a:r>
                      <a:rPr lang="zh-CN" altLang="en-US"/>
                      <a:t>万元，占</a:t>
                    </a:r>
                    <a:r>
                      <a:rPr lang="en-US" altLang="zh-CN"/>
                      <a:t>4.92</a:t>
                    </a:r>
                    <a:r>
                      <a:rPr lang="en-US" altLang="en-US"/>
                      <a:t>%</a:t>
                    </a:r>
                  </a:p>
                </c:rich>
              </c:tx>
              <c:dLblPos val="bestFit"/>
              <c:showVal val="1"/>
              <c:showCatName val="1"/>
              <c:showPercent val="1"/>
              <c:extLst>
                <c:ext xmlns:c15="http://schemas.microsoft.com/office/drawing/2012/chart" uri="{CE6537A1-D6FC-4f65-9D91-7224C49458BB}">
                  <c15:layout/>
                </c:ext>
              </c:extLst>
            </c:dLbl>
            <c:dLbl>
              <c:idx val="1"/>
              <c:tx>
                <c:rich>
                  <a:bodyPr/>
                  <a:lstStyle/>
                  <a:p>
                    <a:r>
                      <a:rPr lang="zh-CN" altLang="en-US"/>
                      <a:t>公共安全支出</a:t>
                    </a:r>
                    <a:r>
                      <a:rPr lang="en-US" altLang="zh-CN"/>
                      <a:t>2677.25</a:t>
                    </a:r>
                    <a:r>
                      <a:rPr lang="zh-CN" altLang="en-US"/>
                      <a:t>万元，占</a:t>
                    </a:r>
                    <a:r>
                      <a:rPr lang="en-US" altLang="en-US"/>
                      <a:t>87.51%</a:t>
                    </a:r>
                  </a:p>
                </c:rich>
              </c:tx>
              <c:dLblPos val="bestFit"/>
              <c:showVal val="1"/>
              <c:showCatName val="1"/>
              <c:showPercent val="1"/>
              <c:extLst>
                <c:ext xmlns:c15="http://schemas.microsoft.com/office/drawing/2012/chart" uri="{CE6537A1-D6FC-4f65-9D91-7224C49458BB}"/>
              </c:extLst>
            </c:dLbl>
            <c:dLbl>
              <c:idx val="2"/>
              <c:layout>
                <c:manualLayout>
                  <c:x val="-1.3642361314483229E-3"/>
                  <c:y val="0.23738786328745001"/>
                </c:manualLayout>
              </c:layout>
              <c:tx>
                <c:rich>
                  <a:bodyPr/>
                  <a:lstStyle/>
                  <a:p>
                    <a:r>
                      <a:rPr lang="zh-CN" altLang="en-US"/>
                      <a:t>社会保障和就业支出</a:t>
                    </a:r>
                    <a:r>
                      <a:rPr lang="en-US" altLang="zh-CN"/>
                      <a:t>185.44</a:t>
                    </a:r>
                    <a:r>
                      <a:rPr lang="zh-CN" altLang="en-US"/>
                      <a:t>万元，占</a:t>
                    </a:r>
                    <a:r>
                      <a:rPr lang="en-US" altLang="en-US"/>
                      <a:t>6.06%</a:t>
                    </a:r>
                  </a:p>
                </c:rich>
              </c:tx>
              <c:dLblPos val="bestFit"/>
              <c:showVal val="1"/>
              <c:showCatName val="1"/>
              <c:showPercent val="1"/>
              <c:extLst>
                <c:ext xmlns:c15="http://schemas.microsoft.com/office/drawing/2012/chart" uri="{CE6537A1-D6FC-4f65-9D91-7224C49458BB}">
                  <c15:layout/>
                </c:ext>
              </c:extLst>
            </c:dLbl>
            <c:dLbl>
              <c:idx val="3"/>
              <c:layout>
                <c:manualLayout>
                  <c:x val="-0.29115491137740374"/>
                  <c:y val="3.4036482148562211E-2"/>
                </c:manualLayout>
              </c:layout>
              <c:tx>
                <c:rich>
                  <a:bodyPr/>
                  <a:lstStyle/>
                  <a:p>
                    <a:r>
                      <a:rPr lang="zh-CN" altLang="en-US"/>
                      <a:t>卫生健康支出</a:t>
                    </a:r>
                    <a:r>
                      <a:rPr lang="en-US" altLang="zh-CN"/>
                      <a:t>46.11</a:t>
                    </a:r>
                    <a:r>
                      <a:rPr lang="zh-CN" altLang="en-US"/>
                      <a:t>万元，占</a:t>
                    </a:r>
                    <a:r>
                      <a:rPr lang="en-US" altLang="en-US"/>
                      <a:t>1.51%</a:t>
                    </a:r>
                  </a:p>
                </c:rich>
              </c:tx>
              <c:dLblPos val="bestFit"/>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Sheet1!$A$1:$A$4</c:f>
              <c:strCache>
                <c:ptCount val="4"/>
                <c:pt idx="0">
                  <c:v>住房保障支出</c:v>
                </c:pt>
                <c:pt idx="1">
                  <c:v>公共安全支出</c:v>
                </c:pt>
                <c:pt idx="2">
                  <c:v>社会保障和就业</c:v>
                </c:pt>
                <c:pt idx="3">
                  <c:v>卫生健康支出</c:v>
                </c:pt>
              </c:strCache>
            </c:strRef>
          </c:cat>
          <c:val>
            <c:numRef>
              <c:f>Sheet1!$B$1:$B$4</c:f>
              <c:numCache>
                <c:formatCode>General</c:formatCode>
                <c:ptCount val="4"/>
                <c:pt idx="0">
                  <c:v>150.55000000000001</c:v>
                </c:pt>
                <c:pt idx="1">
                  <c:v>2677.25</c:v>
                </c:pt>
                <c:pt idx="2">
                  <c:v>185.44</c:v>
                </c:pt>
                <c:pt idx="3">
                  <c:v>46.11</c:v>
                </c:pt>
              </c:numCache>
            </c:numRef>
          </c:val>
        </c:ser>
        <c:ser>
          <c:idx val="1"/>
          <c:order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Sheet1!$A$1:$A$4</c:f>
              <c:strCache>
                <c:ptCount val="4"/>
                <c:pt idx="0">
                  <c:v>住房保障支出</c:v>
                </c:pt>
                <c:pt idx="1">
                  <c:v>公共安全支出</c:v>
                </c:pt>
                <c:pt idx="2">
                  <c:v>社会保障和就业</c:v>
                </c:pt>
                <c:pt idx="3">
                  <c:v>卫生健康支出</c:v>
                </c:pt>
              </c:strCache>
            </c:strRef>
          </c:cat>
          <c:val>
            <c:numRef>
              <c:f>Sheet1!$C$1:$C$4</c:f>
              <c:numCache>
                <c:formatCode>0.00%</c:formatCode>
                <c:ptCount val="4"/>
                <c:pt idx="0">
                  <c:v>4.9200000000000021E-2</c:v>
                </c:pt>
                <c:pt idx="1">
                  <c:v>0.87510000000000165</c:v>
                </c:pt>
                <c:pt idx="2">
                  <c:v>6.0600000000000022E-2</c:v>
                </c:pt>
                <c:pt idx="3">
                  <c:v>1.5100000000000013E-2</c:v>
                </c:pt>
              </c:numCache>
            </c:numRef>
          </c:val>
        </c:ser>
        <c:dLbls>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“三公”经费财政拨款支出结构</a:t>
            </a:r>
            <a:endParaRPr lang="zh-CN" altLang="en-US"/>
          </a:p>
        </c:rich>
      </c:tx>
    </c:title>
    <c:plotArea>
      <c:layout/>
      <c:pieChart>
        <c:varyColors val="1"/>
        <c:ser>
          <c:idx val="0"/>
          <c:order val="0"/>
          <c:dLbls>
            <c:dLbl>
              <c:idx val="0"/>
              <c:delete val="1"/>
            </c:dLbl>
            <c:dLbl>
              <c:idx val="1"/>
              <c:layout>
                <c:manualLayout>
                  <c:x val="-4.3613700032918923E-2"/>
                  <c:y val="-0.14565826330532217"/>
                </c:manualLayout>
              </c:layout>
              <c:tx>
                <c:rich>
                  <a:bodyPr/>
                  <a:lstStyle/>
                  <a:p>
                    <a:r>
                      <a:rPr lang="zh-CN" altLang="en-US"/>
                      <a:t>公务用车购置及运行维护费支出</a:t>
                    </a:r>
                    <a:r>
                      <a:rPr lang="en-US" altLang="zh-CN"/>
                      <a:t>51.61</a:t>
                    </a:r>
                    <a:r>
                      <a:rPr altLang="en-US"/>
                      <a:t>万</a:t>
                    </a:r>
                    <a:r>
                      <a:rPr lang="zh-CN" altLang="en-US"/>
                      <a:t>元</a:t>
                    </a:r>
                    <a:r>
                      <a:rPr lang="en-US" altLang="zh-CN"/>
                      <a:t>
</a:t>
                    </a:r>
                    <a:r>
                      <a:rPr lang="zh-CN" altLang="en-US"/>
                      <a:t>占</a:t>
                    </a:r>
                    <a:r>
                      <a:rPr lang="en-US" altLang="zh-CN"/>
                      <a:t>94.32%</a:t>
                    </a:r>
                  </a:p>
                </c:rich>
              </c:tx>
              <c:dLblPos val="outEnd"/>
              <c:showVal val="1"/>
              <c:showCatName val="1"/>
              <c:showPercent val="1"/>
              <c:extLst>
                <c:ext xmlns:c15="http://schemas.microsoft.com/office/drawing/2012/chart" uri="{CE6537A1-D6FC-4f65-9D91-7224C49458BB}">
                  <c15:layout/>
                </c:ext>
              </c:extLst>
            </c:dLbl>
            <c:dLbl>
              <c:idx val="2"/>
              <c:layout>
                <c:manualLayout>
                  <c:x val="-0.14492994416563426"/>
                  <c:y val="2.5346831646044406E-3"/>
                </c:manualLayout>
              </c:layout>
              <c:tx>
                <c:rich>
                  <a:bodyPr/>
                  <a:lstStyle/>
                  <a:p>
                    <a:r>
                      <a:rPr lang="zh-CN" altLang="en-US"/>
                      <a:t>公务接待费支出
</a:t>
                    </a:r>
                    <a:r>
                      <a:rPr lang="en-US" altLang="zh-CN"/>
                      <a:t>3.11</a:t>
                    </a:r>
                    <a:r>
                      <a:rPr lang="zh-CN" altLang="en-US"/>
                      <a:t>万元，占</a:t>
                    </a:r>
                    <a:r>
                      <a:rPr lang="en-US" altLang="zh-CN"/>
                      <a:t>5.68%</a:t>
                    </a:r>
                    <a:endParaRPr lang="zh-CN" altLang="en-US"/>
                  </a:p>
                </c:rich>
              </c:tx>
              <c:dLblPos val="outEnd"/>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showCatName val="1"/>
            <c:showPercent val="1"/>
            <c:showLeaderLines val="1"/>
            <c:extLst>
              <c:ext xmlns:c15="http://schemas.microsoft.com/office/drawing/2012/chart" uri="{CE6537A1-D6FC-4f65-9D91-7224C49458BB}">
                <c15:layout/>
                <c15:showLeaderLines val="1"/>
                <c15:leaderLines/>
              </c:ext>
            </c:extLst>
          </c:dLbls>
          <c:cat>
            <c:strRef>
              <c:f>Sheet2!$A$1:$A$3</c:f>
              <c:strCache>
                <c:ptCount val="3"/>
                <c:pt idx="0">
                  <c:v>因公出国（境）费支出</c:v>
                </c:pt>
                <c:pt idx="1">
                  <c:v>公务用车购置及运行维护费支出</c:v>
                </c:pt>
                <c:pt idx="2">
                  <c:v>公务接待费支出</c:v>
                </c:pt>
              </c:strCache>
            </c:strRef>
          </c:cat>
          <c:val>
            <c:numRef>
              <c:f>Sheet2!$B$1:$B$3</c:f>
              <c:numCache>
                <c:formatCode>General</c:formatCode>
                <c:ptCount val="3"/>
                <c:pt idx="0">
                  <c:v>0</c:v>
                </c:pt>
                <c:pt idx="1">
                  <c:v>51.61</c:v>
                </c:pt>
                <c:pt idx="2">
                  <c:v>3.11</c:v>
                </c:pt>
              </c:numCache>
            </c:numRef>
          </c:val>
        </c:ser>
        <c:ser>
          <c:idx val="1"/>
          <c:order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Sheet2!$A$1:$A$3</c:f>
              <c:strCache>
                <c:ptCount val="3"/>
                <c:pt idx="0">
                  <c:v>因公出国（境）费支出</c:v>
                </c:pt>
                <c:pt idx="1">
                  <c:v>公务用车购置及运行维护费支出</c:v>
                </c:pt>
                <c:pt idx="2">
                  <c:v>公务接待费支出</c:v>
                </c:pt>
              </c:strCache>
            </c:strRef>
          </c:cat>
          <c:val>
            <c:numRef>
              <c:f>Sheet2!$C$1:$C$3</c:f>
              <c:numCache>
                <c:formatCode>0.00%</c:formatCode>
                <c:ptCount val="3"/>
                <c:pt idx="0" formatCode="0%">
                  <c:v>0</c:v>
                </c:pt>
                <c:pt idx="1">
                  <c:v>0.94320000000000004</c:v>
                </c:pt>
                <c:pt idx="2">
                  <c:v>5.6800000000000003E-2</c:v>
                </c:pt>
              </c:numCache>
            </c:numRef>
          </c:val>
        </c:ser>
        <c:dLbls>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37</Pages>
  <Words>2091</Words>
  <Characters>11920</Characters>
  <Application>Microsoft Office Word</Application>
  <DocSecurity>0</DocSecurity>
  <Lines>99</Lines>
  <Paragraphs>27</Paragraphs>
  <ScaleCrop>false</ScaleCrop>
  <Company>四川省财政厅</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18</cp:revision>
  <cp:lastPrinted>2020-07-23T02:58:00Z</cp:lastPrinted>
  <dcterms:created xsi:type="dcterms:W3CDTF">2020-10-28T07:11:00Z</dcterms:created>
  <dcterms:modified xsi:type="dcterms:W3CDTF">2020-10-30T07:44:00Z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